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附件1</w:t>
      </w:r>
    </w:p>
    <w:p>
      <w:pPr>
        <w:snapToGrid w:val="0"/>
        <w:spacing w:line="300" w:lineRule="auto"/>
        <w:jc w:val="center"/>
        <w:rPr>
          <w:rFonts w:ascii="方正黑体_GBK" w:hAnsi="方正黑体_GBK" w:eastAsia="方正黑体_GBK" w:cs="方正黑体_GBK"/>
          <w:color w:val="000000" w:themeColor="text1"/>
          <w:sz w:val="32"/>
          <w:szCs w:val="32"/>
          <w14:textFill>
            <w14:solidFill>
              <w14:schemeClr w14:val="tx1"/>
            </w14:solidFill>
          </w14:textFill>
        </w:rPr>
      </w:pPr>
    </w:p>
    <w:p>
      <w:pPr>
        <w:snapToGrid w:val="0"/>
        <w:jc w:val="center"/>
        <w:rPr>
          <w:rFonts w:hint="eastAsia" w:ascii="方正小标宋_GBK" w:hAnsi="方正黑体_GBK" w:eastAsia="方正小标宋_GBK" w:cs="方正黑体_GBK"/>
          <w:color w:val="000000" w:themeColor="text1"/>
          <w:sz w:val="44"/>
          <w:szCs w:val="32"/>
          <w14:textFill>
            <w14:solidFill>
              <w14:schemeClr w14:val="tx1"/>
            </w14:solidFill>
          </w14:textFill>
        </w:rPr>
      </w:pPr>
      <w:r>
        <w:rPr>
          <w:rFonts w:hint="eastAsia" w:ascii="方正小标宋_GBK" w:hAnsi="方正黑体_GBK" w:eastAsia="方正小标宋_GBK" w:cs="方正黑体_GBK"/>
          <w:color w:val="000000" w:themeColor="text1"/>
          <w:sz w:val="44"/>
          <w:szCs w:val="32"/>
          <w14:textFill>
            <w14:solidFill>
              <w14:schemeClr w14:val="tx1"/>
            </w14:solidFill>
          </w14:textFill>
        </w:rPr>
        <w:t>江苏省车联网和智能网联汽车网络和数据安全技术验证机构关键能力培育指南</w:t>
      </w:r>
    </w:p>
    <w:p>
      <w:pPr>
        <w:ind w:firstLine="642" w:firstLineChars="200"/>
        <w:rPr>
          <w:rFonts w:hint="eastAsia" w:ascii="Times New Roman" w:hAnsi="Times New Roman" w:eastAsia="方正仿宋_GBK" w:cs="Times New Roman"/>
          <w:b/>
          <w:color w:val="000000" w:themeColor="text1"/>
          <w:sz w:val="32"/>
          <w:szCs w:val="32"/>
          <w14:textFill>
            <w14:solidFill>
              <w14:schemeClr w14:val="tx1"/>
            </w14:solidFill>
          </w14:textFill>
        </w:rPr>
      </w:pP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一、基本要求</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1、中华人民共和国境内注册的合法法人，无不良信用记录；</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2、具备数据安全或个人信息安全检测评估所需的第三方C</w:t>
      </w:r>
      <w:r>
        <w:rPr>
          <w:rFonts w:ascii="Times New Roman" w:hAnsi="Times New Roman" w:eastAsia="方正仿宋_GBK" w:cs="Times New Roman"/>
          <w:color w:val="000000" w:themeColor="text1"/>
          <w:sz w:val="32"/>
          <w:szCs w:val="32"/>
          <w14:textFill>
            <w14:solidFill>
              <w14:schemeClr w14:val="tx1"/>
            </w14:solidFill>
          </w14:textFill>
        </w:rPr>
        <w:t>NAS</w:t>
      </w:r>
      <w:r>
        <w:rPr>
          <w:rFonts w:hint="eastAsia" w:ascii="Times New Roman" w:hAnsi="Times New Roman" w:eastAsia="方正仿宋_GBK" w:cs="Times New Roman"/>
          <w:color w:val="000000" w:themeColor="text1"/>
          <w:sz w:val="32"/>
          <w:szCs w:val="32"/>
          <w14:textFill>
            <w14:solidFill>
              <w14:schemeClr w14:val="tx1"/>
            </w14:solidFill>
          </w14:textFill>
        </w:rPr>
        <w:t>检验机构、检测实验室以及C</w:t>
      </w:r>
      <w:r>
        <w:rPr>
          <w:rFonts w:ascii="Times New Roman" w:hAnsi="Times New Roman" w:eastAsia="方正仿宋_GBK" w:cs="Times New Roman"/>
          <w:color w:val="000000" w:themeColor="text1"/>
          <w:sz w:val="32"/>
          <w:szCs w:val="32"/>
          <w14:textFill>
            <w14:solidFill>
              <w14:schemeClr w14:val="tx1"/>
            </w14:solidFill>
          </w14:textFill>
        </w:rPr>
        <w:t>MA检验检测机构</w:t>
      </w:r>
      <w:r>
        <w:rPr>
          <w:rFonts w:hint="eastAsia" w:ascii="Times New Roman" w:hAnsi="Times New Roman" w:eastAsia="方正仿宋_GBK" w:cs="Times New Roman"/>
          <w:color w:val="000000" w:themeColor="text1"/>
          <w:sz w:val="32"/>
          <w:szCs w:val="32"/>
          <w14:textFill>
            <w14:solidFill>
              <w14:schemeClr w14:val="tx1"/>
            </w14:solidFill>
          </w14:textFill>
        </w:rPr>
        <w:t>等相关</w:t>
      </w:r>
      <w:r>
        <w:rPr>
          <w:rFonts w:ascii="Times New Roman" w:hAnsi="Times New Roman" w:eastAsia="方正仿宋_GBK" w:cs="Times New Roman"/>
          <w:color w:val="000000" w:themeColor="text1"/>
          <w:sz w:val="32"/>
          <w:szCs w:val="32"/>
          <w14:textFill>
            <w14:solidFill>
              <w14:schemeClr w14:val="tx1"/>
            </w14:solidFill>
          </w14:textFill>
        </w:rPr>
        <w:t>资质</w:t>
      </w:r>
      <w:r>
        <w:rPr>
          <w:rFonts w:hint="eastAsia" w:ascii="Times New Roman" w:hAnsi="Times New Roman" w:eastAsia="方正仿宋_GBK" w:cs="Times New Roman"/>
          <w:color w:val="000000" w:themeColor="text1"/>
          <w:sz w:val="32"/>
          <w:szCs w:val="32"/>
          <w14:textFill>
            <w14:solidFill>
              <w14:schemeClr w14:val="tx1"/>
            </w14:solidFill>
          </w14:textFill>
        </w:rPr>
        <w:t>，或具备省级及以上科技、发改等部门批复成立的网络安全类工程研究中心资质。</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二、人员能力</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、具备充足数量的能够支撑开展网络和数据安全检测评估相关工作的专业技术人员；</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、专业技术人员具备注册信息安全保障人员（C</w:t>
      </w:r>
      <w:r>
        <w:rPr>
          <w:rFonts w:ascii="Times New Roman" w:hAnsi="Times New Roman" w:eastAsia="方正仿宋_GBK" w:cs="Times New Roman"/>
          <w:color w:val="000000" w:themeColor="text1"/>
          <w:sz w:val="32"/>
          <w:szCs w:val="32"/>
          <w14:textFill>
            <w14:solidFill>
              <w14:schemeClr w14:val="tx1"/>
            </w14:solidFill>
          </w14:textFill>
        </w:rPr>
        <w:t>ISAW</w:t>
      </w:r>
      <w:r>
        <w:rPr>
          <w:rFonts w:hint="eastAsia" w:ascii="Times New Roman" w:hAnsi="Times New Roman" w:eastAsia="方正仿宋_GBK" w:cs="Times New Roman"/>
          <w:color w:val="000000" w:themeColor="text1"/>
          <w:sz w:val="32"/>
          <w:szCs w:val="32"/>
          <w14:textFill>
            <w14:solidFill>
              <w14:schemeClr w14:val="tx1"/>
            </w14:solidFill>
          </w14:textFill>
        </w:rPr>
        <w:t>风险管理、应急处置、安全运维等方向）、注册信息安全人员（C</w:t>
      </w:r>
      <w:r>
        <w:rPr>
          <w:rFonts w:ascii="Times New Roman" w:hAnsi="Times New Roman" w:eastAsia="方正仿宋_GBK" w:cs="Times New Roman"/>
          <w:color w:val="000000" w:themeColor="text1"/>
          <w:sz w:val="32"/>
          <w:szCs w:val="32"/>
          <w14:textFill>
            <w14:solidFill>
              <w14:schemeClr w14:val="tx1"/>
            </w14:solidFill>
          </w14:textFill>
        </w:rPr>
        <w:t>ISP</w:t>
      </w:r>
      <w:r>
        <w:rPr>
          <w:rFonts w:hint="eastAsia" w:ascii="Times New Roman" w:hAnsi="Times New Roman" w:eastAsia="方正仿宋_GBK" w:cs="Times New Roman"/>
          <w:color w:val="000000" w:themeColor="text1"/>
          <w:sz w:val="32"/>
          <w:szCs w:val="32"/>
          <w14:textFill>
            <w14:solidFill>
              <w14:schemeClr w14:val="tx1"/>
            </w14:solidFill>
          </w14:textFill>
        </w:rPr>
        <w:t>）、网络安全能力认证人员（C</w:t>
      </w:r>
      <w:r>
        <w:rPr>
          <w:rFonts w:ascii="Times New Roman" w:hAnsi="Times New Roman" w:eastAsia="方正仿宋_GBK" w:cs="Times New Roman"/>
          <w:color w:val="000000" w:themeColor="text1"/>
          <w:sz w:val="32"/>
          <w:szCs w:val="32"/>
          <w14:textFill>
            <w14:solidFill>
              <w14:schemeClr w14:val="tx1"/>
            </w14:solidFill>
          </w14:textFill>
        </w:rPr>
        <w:t>CSC</w:t>
      </w:r>
      <w:r>
        <w:rPr>
          <w:rFonts w:hint="eastAsia" w:ascii="Times New Roman" w:hAnsi="Times New Roman" w:eastAsia="方正仿宋_GBK" w:cs="Times New Roman"/>
          <w:color w:val="000000" w:themeColor="text1"/>
          <w:sz w:val="32"/>
          <w:szCs w:val="32"/>
          <w14:textFill>
            <w14:solidFill>
              <w14:schemeClr w14:val="tx1"/>
            </w14:solidFill>
          </w14:textFill>
        </w:rPr>
        <w:t>）等相关资格；</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三、检测手段</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、具备面向网络设备、安全设备、主机操作系统、中间件、数据库、应用系统、源代码程序等安全检测相关的商业自动化检测工具；</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、具备开展数据资产管理、数据分类分级、敏感数据自动发现、A</w:t>
      </w:r>
      <w:r>
        <w:rPr>
          <w:rFonts w:ascii="Times New Roman" w:hAnsi="Times New Roman" w:eastAsia="方正仿宋_GBK" w:cs="Times New Roman"/>
          <w:color w:val="000000" w:themeColor="text1"/>
          <w:sz w:val="32"/>
          <w:szCs w:val="32"/>
          <w14:textFill>
            <w14:solidFill>
              <w14:schemeClr w14:val="tx1"/>
            </w14:solidFill>
          </w14:textFill>
        </w:rPr>
        <w:t>PI</w:t>
      </w:r>
      <w:r>
        <w:rPr>
          <w:rFonts w:hint="eastAsia" w:ascii="Times New Roman" w:hAnsi="Times New Roman" w:eastAsia="方正仿宋_GBK" w:cs="Times New Roman"/>
          <w:color w:val="000000" w:themeColor="text1"/>
          <w:sz w:val="32"/>
          <w:szCs w:val="32"/>
          <w14:textFill>
            <w14:solidFill>
              <w14:schemeClr w14:val="tx1"/>
            </w14:solidFill>
          </w14:textFill>
        </w:rPr>
        <w:t>数据安全评估、数据出境安全评估、数据行为异常评估等相关专业化商业数据安全检测评估与分析工具；</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、具备开展车载系统合规性检测、车载固件安全检测、</w:t>
      </w:r>
      <w:r>
        <w:rPr>
          <w:rFonts w:hint="eastAsia" w:ascii="Times New Roman" w:hAnsi="Times New Roman" w:eastAsia="方正仿宋_GBK" w:cs="Times New Roman"/>
          <w:bCs/>
          <w:color w:val="000000" w:themeColor="text1"/>
          <w:sz w:val="32"/>
          <w:szCs w:val="32"/>
          <w14:textFill>
            <w14:solidFill>
              <w14:schemeClr w14:val="tx1"/>
            </w14:solidFill>
          </w14:textFill>
        </w:rPr>
        <w:t>无线安全检测（</w:t>
      </w:r>
      <w:r>
        <w:rPr>
          <w:rFonts w:ascii="Times New Roman" w:hAnsi="Times New Roman" w:eastAsia="方正仿宋_GBK" w:cs="Times New Roman"/>
          <w:bCs/>
          <w:color w:val="000000" w:themeColor="text1"/>
          <w:sz w:val="32"/>
          <w:szCs w:val="32"/>
          <w14:textFill>
            <w14:solidFill>
              <w14:schemeClr w14:val="tx1"/>
            </w14:solidFill>
          </w14:textFill>
        </w:rPr>
        <w:t>4G/5G</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WIFI</w:t>
      </w:r>
      <w:r>
        <w:rPr>
          <w:rFonts w:hint="eastAsia" w:ascii="Times New Roman" w:hAnsi="Times New Roman" w:eastAsia="方正仿宋_GBK" w:cs="Times New Roman"/>
          <w:bCs/>
          <w:color w:val="000000" w:themeColor="text1"/>
          <w:sz w:val="32"/>
          <w:szCs w:val="32"/>
          <w14:textFill>
            <w14:solidFill>
              <w14:schemeClr w14:val="tx1"/>
            </w14:solidFill>
          </w14:textFill>
        </w:rPr>
        <w:t>、蓝牙、射频）、车载网络安全检测（</w:t>
      </w:r>
      <w:r>
        <w:rPr>
          <w:rFonts w:ascii="Times New Roman" w:hAnsi="Times New Roman" w:eastAsia="方正仿宋_GBK" w:cs="Times New Roman"/>
          <w:bCs/>
          <w:color w:val="000000" w:themeColor="text1"/>
          <w:sz w:val="32"/>
          <w:szCs w:val="32"/>
          <w14:textFill>
            <w14:solidFill>
              <w14:schemeClr w14:val="tx1"/>
            </w14:solidFill>
          </w14:textFill>
        </w:rPr>
        <w:t>CAN/CANFD</w:t>
      </w:r>
      <w:r>
        <w:rPr>
          <w:rFonts w:hint="eastAsia" w:ascii="Times New Roman" w:hAnsi="Times New Roman" w:eastAsia="方正仿宋_GBK" w:cs="Times New Roman"/>
          <w:bCs/>
          <w:color w:val="000000" w:themeColor="text1"/>
          <w:sz w:val="32"/>
          <w:szCs w:val="32"/>
          <w14:textFill>
            <w14:solidFill>
              <w14:schemeClr w14:val="tx1"/>
            </w14:solidFill>
          </w14:textFill>
        </w:rPr>
        <w:t>、车载以太网）、车载已知和未知漏洞检测、</w:t>
      </w:r>
      <w:r>
        <w:rPr>
          <w:rFonts w:hint="eastAsia" w:ascii="Times New Roman" w:hAnsi="Times New Roman" w:eastAsia="方正仿宋_GBK" w:cs="Times New Roman"/>
          <w:color w:val="000000" w:themeColor="text1"/>
          <w:sz w:val="32"/>
          <w:szCs w:val="32"/>
          <w14:textFill>
            <w14:solidFill>
              <w14:schemeClr w14:val="tx1"/>
            </w14:solidFill>
          </w14:textFill>
        </w:rPr>
        <w:t>汽车A</w:t>
      </w:r>
      <w:r>
        <w:rPr>
          <w:rFonts w:ascii="Times New Roman" w:hAnsi="Times New Roman" w:eastAsia="方正仿宋_GBK" w:cs="Times New Roman"/>
          <w:color w:val="000000" w:themeColor="text1"/>
          <w:sz w:val="32"/>
          <w:szCs w:val="32"/>
          <w14:textFill>
            <w14:solidFill>
              <w14:schemeClr w14:val="tx1"/>
            </w14:solidFill>
          </w14:textFill>
        </w:rPr>
        <w:t>PI</w:t>
      </w:r>
      <w:r>
        <w:rPr>
          <w:rFonts w:hint="eastAsia" w:ascii="Times New Roman" w:hAnsi="Times New Roman" w:eastAsia="方正仿宋_GBK" w:cs="Times New Roman"/>
          <w:color w:val="000000" w:themeColor="text1"/>
          <w:sz w:val="32"/>
          <w:szCs w:val="32"/>
          <w14:textFill>
            <w14:solidFill>
              <w14:schemeClr w14:val="tx1"/>
            </w14:solidFill>
          </w14:textFill>
        </w:rPr>
        <w:t>接口安全检测等相关专业化商业车联网数据安全合规性检测和A</w:t>
      </w:r>
      <w:r>
        <w:rPr>
          <w:rFonts w:ascii="Times New Roman" w:hAnsi="Times New Roman" w:eastAsia="方正仿宋_GBK" w:cs="Times New Roman"/>
          <w:color w:val="000000" w:themeColor="text1"/>
          <w:sz w:val="32"/>
          <w:szCs w:val="32"/>
          <w14:textFill>
            <w14:solidFill>
              <w14:schemeClr w14:val="tx1"/>
            </w14:solidFill>
          </w14:textFill>
        </w:rPr>
        <w:t>PI</w:t>
      </w:r>
      <w:r>
        <w:rPr>
          <w:rFonts w:hint="eastAsia" w:ascii="Times New Roman" w:hAnsi="Times New Roman" w:eastAsia="方正仿宋_GBK" w:cs="Times New Roman"/>
          <w:color w:val="000000" w:themeColor="text1"/>
          <w:sz w:val="32"/>
          <w:szCs w:val="32"/>
          <w14:textFill>
            <w14:solidFill>
              <w14:schemeClr w14:val="tx1"/>
            </w14:solidFill>
          </w14:textFill>
        </w:rPr>
        <w:t>接口检测平台；</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四、经验要求</w:t>
      </w:r>
    </w:p>
    <w:p>
      <w:pPr>
        <w:snapToGrid w:val="0"/>
        <w:spacing w:line="300" w:lineRule="auto"/>
        <w:ind w:firstLine="640"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8</w:t>
      </w:r>
      <w:r>
        <w:rPr>
          <w:rFonts w:hint="eastAsia" w:ascii="Times New Roman" w:hAnsi="Times New Roman" w:eastAsia="方正仿宋_GBK" w:cs="Times New Roman"/>
          <w:b/>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具备风险评估、应急处置、安全运维等相关安全服务能力；</w:t>
      </w:r>
    </w:p>
    <w:p>
      <w:pPr>
        <w:snapToGrid w:val="0"/>
        <w:spacing w:line="300" w:lineRule="auto"/>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9</w:t>
      </w:r>
      <w:r>
        <w:rPr>
          <w:rFonts w:hint="eastAsia" w:ascii="Times New Roman" w:hAnsi="Times New Roman" w:eastAsia="方正仿宋_GBK" w:cs="Times New Roman"/>
          <w:color w:val="000000" w:themeColor="text1"/>
          <w:sz w:val="32"/>
          <w:szCs w:val="32"/>
          <w14:textFill>
            <w14:solidFill>
              <w14:schemeClr w14:val="tx1"/>
            </w14:solidFill>
          </w14:textFill>
        </w:rPr>
        <w:t>、具备编制数据安全相关技术规范与标准工作经验；</w:t>
      </w:r>
    </w:p>
    <w:p>
      <w:pPr>
        <w:snapToGrid w:val="0"/>
        <w:spacing w:line="300" w:lineRule="auto"/>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10</w:t>
      </w:r>
      <w:r>
        <w:rPr>
          <w:rFonts w:hint="eastAsia" w:ascii="Times New Roman" w:hAnsi="Times New Roman" w:eastAsia="方正仿宋_GBK" w:cs="Times New Roman"/>
          <w:color w:val="000000" w:themeColor="text1"/>
          <w:sz w:val="32"/>
          <w:szCs w:val="32"/>
          <w14:textFill>
            <w14:solidFill>
              <w14:schemeClr w14:val="tx1"/>
            </w14:solidFill>
          </w14:textFill>
        </w:rPr>
        <w:t>、具备支撑数据安全主管部门开展汽车数据安全调研、评估、检查等相关工作经验；</w:t>
      </w:r>
    </w:p>
    <w:p>
      <w:pPr>
        <w:snapToGrid w:val="0"/>
        <w:spacing w:line="300" w:lineRule="auto"/>
        <w:ind w:firstLine="640" w:firstLineChars="200"/>
      </w:pPr>
      <w:bookmarkStart w:id="0" w:name="_GoBack"/>
      <w:bookmarkEnd w:id="0"/>
      <w:r>
        <w:rPr>
          <w:rFonts w:ascii="Times New Roman" w:hAnsi="Times New Roman" w:eastAsia="方正仿宋_GBK" w:cs="Times New Roman"/>
          <w:color w:val="000000" w:themeColor="text1"/>
          <w:sz w:val="32"/>
          <w:szCs w:val="32"/>
          <w14:textFill>
            <w14:solidFill>
              <w14:schemeClr w14:val="tx1"/>
            </w14:solidFill>
          </w14:textFill>
        </w:rPr>
        <w:t>11</w:t>
      </w:r>
      <w:r>
        <w:rPr>
          <w:rFonts w:hint="eastAsia" w:ascii="Times New Roman" w:hAnsi="Times New Roman" w:eastAsia="方正仿宋_GBK" w:cs="Times New Roman"/>
          <w:color w:val="000000" w:themeColor="text1"/>
          <w:sz w:val="32"/>
          <w:szCs w:val="32"/>
          <w14:textFill>
            <w14:solidFill>
              <w14:schemeClr w14:val="tx1"/>
            </w14:solidFill>
          </w14:textFill>
        </w:rPr>
        <w:t>、具备实际开展汽车数据处理者（整车厂或零部件供应商）数据安全咨询、数据安全评估等相关工作经验。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CAE11"/>
    <w:rsid w:val="3DED704C"/>
    <w:rsid w:val="FEFCA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2022-11-23T14:15:00Z</dcterms:created>
  <dc:creator>uos</dc:creator>
  <cp:lastModifiedBy>uos</cp:lastModifiedBy>
  <dcterms:modified xsi:type="dcterms:W3CDTF">2022-11-23T14:16:37Z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