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2" w:name="_GoBack"/>
      <w:bookmarkEnd w:id="2"/>
      <w:bookmarkStart w:id="0" w:name="OLE_LINK4"/>
      <w:bookmarkStart w:id="1" w:name="OLE_LINK5"/>
      <w:r>
        <w:rPr>
          <w:rFonts w:hint="eastAsia" w:ascii="黑体" w:hAnsi="黑体" w:eastAsia="黑体"/>
          <w:sz w:val="36"/>
          <w:szCs w:val="36"/>
        </w:rPr>
        <w:t>2017年省双创计划申报注意事项</w:t>
      </w:r>
    </w:p>
    <w:p>
      <w:pPr>
        <w:rPr>
          <w:rFonts w:asciiTheme="minorEastAsia" w:hAnsiTheme="minorEastAsia"/>
          <w:sz w:val="28"/>
          <w:szCs w:val="36"/>
        </w:rPr>
      </w:pPr>
    </w:p>
    <w:p>
      <w:pPr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  <w:highlight w:val="yellow"/>
        </w:rPr>
        <w:t>申报材料自查：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《需提供的相关材料清单》中，已明确指出了每个类别的申报者，必须提供、酌情提供、不需提供的证明材料，请严格遵照执行。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经历从中学填起，到目前所在单位为止，包括期间全部学习和工作经历，不可跳跃中断。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2000年后取得的海外学位：无论申报人目前国籍情况，必须经中国教育部认证，提供教育部留学服务中心出具的《国外学历学位认证书》，已入选国家“千人”计划的人员除外。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公司股本结构：“本人资金投入”为申报人实缴、已到账的现金，“总股本”、“知识产权作价”、“股份”等内容与最新验资报告的数据保持一致。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工商股权证明：由工商行政管理局开具。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企业纳税证明：由国税及地税分别开具，要求有年度入库总额，不需要明细。企业无论是否有收入，每年必须依法缴纳若干种类的税款。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企业参保证明：由苏州工业园区社会保险基金和公积金管理中心开具，要求有当前社保户下、全体缴纳社保人员姓名、总数，不需要金额。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6"/>
        </w:rPr>
        <w:t>财务报表：提供三种（资产负债表、利润表、现金流量表），并经过审计。</w:t>
      </w:r>
    </w:p>
    <w:bookmarkEnd w:id="0"/>
    <w:bookmarkEnd w:id="1"/>
    <w:p>
      <w:pPr>
        <w:jc w:val="left"/>
        <w:rPr>
          <w:rFonts w:ascii="黑体" w:hAnsi="黑体" w:eastAsia="黑体"/>
          <w:sz w:val="32"/>
          <w:szCs w:val="36"/>
        </w:rPr>
      </w:pPr>
    </w:p>
    <w:p>
      <w:pPr>
        <w:jc w:val="left"/>
        <w:rPr>
          <w:rFonts w:ascii="黑体" w:hAnsi="黑体" w:eastAsia="黑体"/>
          <w:sz w:val="32"/>
          <w:szCs w:val="36"/>
        </w:rPr>
      </w:pPr>
    </w:p>
    <w:p>
      <w:pPr>
        <w:jc w:val="left"/>
        <w:rPr>
          <w:rFonts w:hint="eastAsia" w:ascii="黑体" w:hAnsi="黑体" w:eastAsia="黑体"/>
          <w:sz w:val="32"/>
          <w:szCs w:val="36"/>
        </w:rPr>
      </w:pPr>
    </w:p>
    <w:p>
      <w:pPr>
        <w:spacing w:line="460" w:lineRule="exact"/>
        <w:rPr>
          <w:rFonts w:ascii="宋体" w:hAnsi="宋体" w:cs="宋体"/>
          <w:sz w:val="28"/>
          <w:szCs w:val="30"/>
        </w:rPr>
      </w:pPr>
    </w:p>
    <w:p>
      <w:pPr>
        <w:pStyle w:val="8"/>
        <w:widowControl/>
        <w:ind w:left="360" w:firstLine="0" w:firstLineChars="0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3565"/>
    <w:multiLevelType w:val="multilevel"/>
    <w:tmpl w:val="6CDA3565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8"/>
    <w:rsid w:val="00023DEA"/>
    <w:rsid w:val="00065239"/>
    <w:rsid w:val="0007433D"/>
    <w:rsid w:val="00083821"/>
    <w:rsid w:val="00084998"/>
    <w:rsid w:val="000B4B66"/>
    <w:rsid w:val="000D6A0D"/>
    <w:rsid w:val="000D7BEF"/>
    <w:rsid w:val="000E422D"/>
    <w:rsid w:val="000F71AB"/>
    <w:rsid w:val="001267B9"/>
    <w:rsid w:val="00143303"/>
    <w:rsid w:val="00143BBD"/>
    <w:rsid w:val="001609E0"/>
    <w:rsid w:val="00182A8D"/>
    <w:rsid w:val="00195A48"/>
    <w:rsid w:val="001C413A"/>
    <w:rsid w:val="001F0BA8"/>
    <w:rsid w:val="00214BFB"/>
    <w:rsid w:val="00220026"/>
    <w:rsid w:val="00233733"/>
    <w:rsid w:val="00244EBC"/>
    <w:rsid w:val="00281D91"/>
    <w:rsid w:val="00281F98"/>
    <w:rsid w:val="0028389A"/>
    <w:rsid w:val="002A43A0"/>
    <w:rsid w:val="002D2630"/>
    <w:rsid w:val="002E1C3C"/>
    <w:rsid w:val="00302B8B"/>
    <w:rsid w:val="00303400"/>
    <w:rsid w:val="00317DB3"/>
    <w:rsid w:val="00332101"/>
    <w:rsid w:val="00345068"/>
    <w:rsid w:val="003C108B"/>
    <w:rsid w:val="003D0B2D"/>
    <w:rsid w:val="003D4DC0"/>
    <w:rsid w:val="003E5CE4"/>
    <w:rsid w:val="003F0151"/>
    <w:rsid w:val="004013DE"/>
    <w:rsid w:val="0040454B"/>
    <w:rsid w:val="00460B91"/>
    <w:rsid w:val="0046661F"/>
    <w:rsid w:val="00484473"/>
    <w:rsid w:val="00495CDD"/>
    <w:rsid w:val="004B3AE6"/>
    <w:rsid w:val="004C4E96"/>
    <w:rsid w:val="004D0200"/>
    <w:rsid w:val="004F315A"/>
    <w:rsid w:val="005269BC"/>
    <w:rsid w:val="00552438"/>
    <w:rsid w:val="00582A34"/>
    <w:rsid w:val="005A0CD2"/>
    <w:rsid w:val="005B4382"/>
    <w:rsid w:val="005D272C"/>
    <w:rsid w:val="005D6328"/>
    <w:rsid w:val="005E7DA1"/>
    <w:rsid w:val="006045E7"/>
    <w:rsid w:val="00611B99"/>
    <w:rsid w:val="00611DFC"/>
    <w:rsid w:val="00625CA2"/>
    <w:rsid w:val="00643A35"/>
    <w:rsid w:val="006449A2"/>
    <w:rsid w:val="00654F88"/>
    <w:rsid w:val="006565B2"/>
    <w:rsid w:val="006634A2"/>
    <w:rsid w:val="00667452"/>
    <w:rsid w:val="00676AF6"/>
    <w:rsid w:val="006A7995"/>
    <w:rsid w:val="006E05AF"/>
    <w:rsid w:val="006E4E23"/>
    <w:rsid w:val="006E4F12"/>
    <w:rsid w:val="006E6D03"/>
    <w:rsid w:val="006F0D56"/>
    <w:rsid w:val="006F5EE7"/>
    <w:rsid w:val="0070435F"/>
    <w:rsid w:val="00705D4D"/>
    <w:rsid w:val="00705F6A"/>
    <w:rsid w:val="007160EA"/>
    <w:rsid w:val="007265AA"/>
    <w:rsid w:val="00761AB2"/>
    <w:rsid w:val="00767511"/>
    <w:rsid w:val="0077336C"/>
    <w:rsid w:val="00773653"/>
    <w:rsid w:val="0078288C"/>
    <w:rsid w:val="007957E0"/>
    <w:rsid w:val="00796E17"/>
    <w:rsid w:val="007C3538"/>
    <w:rsid w:val="007F0972"/>
    <w:rsid w:val="007F46B1"/>
    <w:rsid w:val="008236C5"/>
    <w:rsid w:val="00826CF3"/>
    <w:rsid w:val="00833A42"/>
    <w:rsid w:val="00846545"/>
    <w:rsid w:val="00852B04"/>
    <w:rsid w:val="008A6C3C"/>
    <w:rsid w:val="008A70B7"/>
    <w:rsid w:val="008B223E"/>
    <w:rsid w:val="008C74B3"/>
    <w:rsid w:val="008D08AC"/>
    <w:rsid w:val="008D479D"/>
    <w:rsid w:val="008F15D1"/>
    <w:rsid w:val="008F3026"/>
    <w:rsid w:val="008F660A"/>
    <w:rsid w:val="009108D9"/>
    <w:rsid w:val="0092254D"/>
    <w:rsid w:val="0092280A"/>
    <w:rsid w:val="009415DB"/>
    <w:rsid w:val="00945921"/>
    <w:rsid w:val="00947E47"/>
    <w:rsid w:val="0095581B"/>
    <w:rsid w:val="009A7741"/>
    <w:rsid w:val="009C63E5"/>
    <w:rsid w:val="009D505F"/>
    <w:rsid w:val="009D5A06"/>
    <w:rsid w:val="009E0C28"/>
    <w:rsid w:val="009E39E8"/>
    <w:rsid w:val="00A20BF4"/>
    <w:rsid w:val="00A25C65"/>
    <w:rsid w:val="00A30F1D"/>
    <w:rsid w:val="00A35678"/>
    <w:rsid w:val="00A40269"/>
    <w:rsid w:val="00A507B7"/>
    <w:rsid w:val="00A51E03"/>
    <w:rsid w:val="00A53868"/>
    <w:rsid w:val="00A723A2"/>
    <w:rsid w:val="00A730D4"/>
    <w:rsid w:val="00A756BD"/>
    <w:rsid w:val="00A81DA9"/>
    <w:rsid w:val="00A86449"/>
    <w:rsid w:val="00A93E1F"/>
    <w:rsid w:val="00A9423F"/>
    <w:rsid w:val="00AE0E96"/>
    <w:rsid w:val="00AE5FEB"/>
    <w:rsid w:val="00B44A56"/>
    <w:rsid w:val="00B50427"/>
    <w:rsid w:val="00B52E86"/>
    <w:rsid w:val="00B57827"/>
    <w:rsid w:val="00B60337"/>
    <w:rsid w:val="00B61F98"/>
    <w:rsid w:val="00B63E3A"/>
    <w:rsid w:val="00B64DCA"/>
    <w:rsid w:val="00B801A5"/>
    <w:rsid w:val="00B9018B"/>
    <w:rsid w:val="00BA15B6"/>
    <w:rsid w:val="00BB2EF5"/>
    <w:rsid w:val="00BC4BF0"/>
    <w:rsid w:val="00BD16B0"/>
    <w:rsid w:val="00BE07E3"/>
    <w:rsid w:val="00BF2977"/>
    <w:rsid w:val="00BF4D0F"/>
    <w:rsid w:val="00C15809"/>
    <w:rsid w:val="00C23C45"/>
    <w:rsid w:val="00C27832"/>
    <w:rsid w:val="00C375F8"/>
    <w:rsid w:val="00C70868"/>
    <w:rsid w:val="00C77CA6"/>
    <w:rsid w:val="00CA7B28"/>
    <w:rsid w:val="00CC43C8"/>
    <w:rsid w:val="00CD1FA5"/>
    <w:rsid w:val="00CD40EC"/>
    <w:rsid w:val="00CD747A"/>
    <w:rsid w:val="00CF6E9A"/>
    <w:rsid w:val="00D025D6"/>
    <w:rsid w:val="00D056B6"/>
    <w:rsid w:val="00D135F2"/>
    <w:rsid w:val="00D32CF7"/>
    <w:rsid w:val="00D43D05"/>
    <w:rsid w:val="00D64070"/>
    <w:rsid w:val="00D6604D"/>
    <w:rsid w:val="00DB5957"/>
    <w:rsid w:val="00E02E9F"/>
    <w:rsid w:val="00E15E90"/>
    <w:rsid w:val="00E3514B"/>
    <w:rsid w:val="00E356C6"/>
    <w:rsid w:val="00E35DE3"/>
    <w:rsid w:val="00E50603"/>
    <w:rsid w:val="00E57E5F"/>
    <w:rsid w:val="00E77178"/>
    <w:rsid w:val="00EA5176"/>
    <w:rsid w:val="00EC54CA"/>
    <w:rsid w:val="00ED3153"/>
    <w:rsid w:val="00EF0669"/>
    <w:rsid w:val="00F315FC"/>
    <w:rsid w:val="00F35200"/>
    <w:rsid w:val="00F42D7D"/>
    <w:rsid w:val="00F450EB"/>
    <w:rsid w:val="00F51BA0"/>
    <w:rsid w:val="00F635B2"/>
    <w:rsid w:val="00FA3DBE"/>
    <w:rsid w:val="00FD6423"/>
    <w:rsid w:val="00FE34C5"/>
    <w:rsid w:val="06071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2016-06-14T08:10:00Z</dcterms:created>
  <dc:creator>王小燕</dc:creator>
  <cp:lastModifiedBy>HeJ</cp:lastModifiedBy>
  <dcterms:modified xsi:type="dcterms:W3CDTF">2017-06-07T01:39:18Z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