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580" w:lineRule="exact"/>
        <w:jc w:val="center"/>
        <w:rPr>
          <w:rFonts w:hint="eastAsia" w:ascii="Times New Roman" w:hAnsi="Times New Roman" w:eastAsia="仿宋_GB2312" w:cs="方正仿宋简体"/>
          <w:b/>
          <w:bCs/>
          <w:kern w:val="0"/>
          <w:sz w:val="32"/>
          <w:szCs w:val="32"/>
          <w:highlight w:val="none"/>
          <w:lang w:val="en-US" w:eastAsia="zh-CN"/>
        </w:rPr>
      </w:pPr>
      <w:r>
        <w:rPr>
          <w:rFonts w:hint="eastAsia" w:ascii="Times New Roman" w:hAnsi="Times New Roman" w:eastAsia="仿宋_GB2312" w:cs="方正仿宋简体"/>
          <w:b/>
          <w:bCs/>
          <w:kern w:val="0"/>
          <w:sz w:val="32"/>
          <w:szCs w:val="32"/>
          <w:highlight w:val="none"/>
          <w:lang w:val="en-US" w:eastAsia="zh-CN"/>
        </w:rPr>
        <w:t>京东方液晶面板十代线全自动化工厂</w:t>
      </w:r>
    </w:p>
    <w:p>
      <w:pPr>
        <w:numPr>
          <w:ilvl w:val="0"/>
          <w:numId w:val="0"/>
        </w:numPr>
        <w:adjustRightInd w:val="0"/>
        <w:snapToGrid w:val="0"/>
        <w:spacing w:line="580" w:lineRule="exact"/>
        <w:ind w:firstLine="640"/>
        <w:jc w:val="left"/>
        <w:rPr>
          <w:rFonts w:hint="default" w:ascii="Times New Roman" w:hAnsi="Times New Roman" w:eastAsia="仿宋_GB2312" w:cs="方正仿宋简体"/>
          <w:kern w:val="0"/>
          <w:sz w:val="32"/>
          <w:szCs w:val="32"/>
          <w:highlight w:val="none"/>
          <w:lang w:val="en-US" w:eastAsia="zh-CN"/>
        </w:rPr>
      </w:pPr>
      <w:r>
        <w:rPr>
          <w:rFonts w:hint="eastAsia" w:ascii="Times New Roman" w:hAnsi="Times New Roman" w:eastAsia="仿宋_GB2312" w:cs="方正仿宋简体"/>
          <w:kern w:val="0"/>
          <w:sz w:val="32"/>
          <w:szCs w:val="32"/>
          <w:highlight w:val="none"/>
          <w:lang w:val="en-US" w:eastAsia="zh-CN"/>
        </w:rPr>
        <w:t>京东方</w:t>
      </w:r>
      <w:r>
        <w:rPr>
          <w:rFonts w:hint="eastAsia" w:ascii="Times New Roman" w:hAnsi="Times New Roman" w:eastAsia="仿宋_GB2312" w:cs="方正仿宋简体"/>
          <w:kern w:val="0"/>
          <w:sz w:val="32"/>
          <w:szCs w:val="32"/>
          <w:highlight w:val="none"/>
        </w:rPr>
        <w:t>是一家为信息交互和人类健康提供智慧端口产品和专业服务的物联网公司。核心事业包括端口器件、智慧物联和智慧医工三大领域。端口器件事业包括显示与传感器件、传感器及解决方案。作为全球半导体显示产业龙头企业，BOE（京东方）带领中国显示产业实现了从无到有、从有到大、从大到强。目前全球有超过四分之一的显示屏来自BOE（京东方），其超高清、柔性、微显示等解决方案已广泛应用于国内外知名品牌。</w:t>
      </w:r>
    </w:p>
    <w:p>
      <w:pPr>
        <w:adjustRightInd w:val="0"/>
        <w:snapToGrid w:val="0"/>
        <w:spacing w:line="580" w:lineRule="exact"/>
        <w:jc w:val="center"/>
        <w:rPr>
          <w:rFonts w:hint="eastAsia" w:ascii="Times New Roman" w:hAnsi="Times New Roman" w:eastAsia="仿宋_GB2312" w:cs="方正仿宋简体"/>
          <w:b/>
          <w:bCs/>
          <w:kern w:val="0"/>
          <w:sz w:val="32"/>
          <w:szCs w:val="32"/>
          <w:highlight w:val="none"/>
        </w:rPr>
      </w:pPr>
    </w:p>
    <w:p>
      <w:pPr>
        <w:adjustRightInd w:val="0"/>
        <w:snapToGrid w:val="0"/>
        <w:spacing w:line="580" w:lineRule="exact"/>
        <w:ind w:firstLine="643" w:firstLineChars="200"/>
        <w:jc w:val="center"/>
        <w:rPr>
          <w:rFonts w:hint="eastAsia" w:ascii="Times New Roman" w:hAnsi="Times New Roman" w:eastAsia="仿宋_GB2312" w:cs="方正仿宋简体"/>
          <w:b/>
          <w:bCs/>
          <w:kern w:val="0"/>
          <w:sz w:val="32"/>
          <w:szCs w:val="32"/>
          <w:highlight w:val="none"/>
          <w:lang w:val="en-US" w:eastAsia="zh-CN"/>
        </w:rPr>
      </w:pPr>
      <w:r>
        <w:rPr>
          <w:rFonts w:hint="eastAsia" w:ascii="Times New Roman" w:hAnsi="Times New Roman" w:eastAsia="仿宋_GB2312" w:cs="方正仿宋简体"/>
          <w:b/>
          <w:bCs/>
          <w:kern w:val="0"/>
          <w:sz w:val="32"/>
          <w:szCs w:val="32"/>
          <w:highlight w:val="none"/>
          <w:lang w:val="en-US" w:eastAsia="zh-CN"/>
        </w:rPr>
        <w:t>安徽创新馆</w:t>
      </w:r>
    </w:p>
    <w:p>
      <w:pPr>
        <w:adjustRightInd w:val="0"/>
        <w:snapToGrid w:val="0"/>
        <w:spacing w:line="580" w:lineRule="exact"/>
        <w:ind w:firstLine="640" w:firstLineChars="200"/>
        <w:jc w:val="left"/>
        <w:rPr>
          <w:rFonts w:hint="eastAsia" w:ascii="Times New Roman" w:hAnsi="Times New Roman" w:eastAsia="仿宋_GB2312" w:cs="方正仿宋简体"/>
          <w:kern w:val="0"/>
          <w:sz w:val="32"/>
          <w:szCs w:val="32"/>
          <w:highlight w:val="none"/>
        </w:rPr>
      </w:pPr>
      <w:r>
        <w:rPr>
          <w:rFonts w:hint="eastAsia" w:ascii="Times New Roman" w:hAnsi="Times New Roman" w:eastAsia="仿宋_GB2312" w:cs="方正仿宋简体"/>
          <w:kern w:val="0"/>
          <w:sz w:val="32"/>
          <w:szCs w:val="32"/>
          <w:highlight w:val="none"/>
        </w:rPr>
        <w:t>安徽创新馆位于安徽省合肥市滨湖新区最南端，面向八百平方公里的浩瀚巢湖，占地面积150亩，建筑面积8.2万平方米。全馆由三栋独立的场馆组成，三大主题场馆交织关联，以科技成果转化交易为核心，形成“聚集展示、捕捉寻找、研发转化”的环形功能链，全面体现创新馆“展示窗口、实用平台、先行示范”三大功能定位，着力打造具有全国重要影响力的科技大市场。</w:t>
      </w:r>
    </w:p>
    <w:p>
      <w:pPr>
        <w:adjustRightInd w:val="0"/>
        <w:snapToGrid w:val="0"/>
        <w:spacing w:line="580" w:lineRule="exact"/>
        <w:jc w:val="center"/>
        <w:rPr>
          <w:rFonts w:hint="eastAsia" w:ascii="Times New Roman" w:hAnsi="Times New Roman" w:eastAsia="仿宋_GB2312" w:cs="方正仿宋简体"/>
          <w:b/>
          <w:bCs/>
          <w:kern w:val="0"/>
          <w:sz w:val="32"/>
          <w:szCs w:val="32"/>
          <w:highlight w:val="none"/>
        </w:rPr>
      </w:pPr>
    </w:p>
    <w:p>
      <w:pPr>
        <w:adjustRightInd w:val="0"/>
        <w:snapToGrid w:val="0"/>
        <w:spacing w:line="580" w:lineRule="exact"/>
        <w:jc w:val="center"/>
        <w:rPr>
          <w:rFonts w:ascii="Times New Roman" w:hAnsi="Times New Roman" w:eastAsia="仿宋_GB2312" w:cs="方正仿宋简体"/>
          <w:b/>
          <w:bCs/>
          <w:kern w:val="0"/>
          <w:sz w:val="32"/>
          <w:szCs w:val="32"/>
          <w:highlight w:val="none"/>
        </w:rPr>
      </w:pPr>
      <w:r>
        <w:rPr>
          <w:rFonts w:hint="eastAsia" w:ascii="Times New Roman" w:hAnsi="Times New Roman" w:eastAsia="仿宋_GB2312" w:cs="方正仿宋简体"/>
          <w:b/>
          <w:bCs/>
          <w:kern w:val="0"/>
          <w:sz w:val="32"/>
          <w:szCs w:val="32"/>
          <w:highlight w:val="none"/>
        </w:rPr>
        <w:t>中国科学技术大学先进技术研究院</w:t>
      </w:r>
    </w:p>
    <w:p>
      <w:pPr>
        <w:adjustRightInd w:val="0"/>
        <w:snapToGrid w:val="0"/>
        <w:spacing w:line="580" w:lineRule="exact"/>
        <w:ind w:firstLine="640" w:firstLineChars="200"/>
        <w:jc w:val="left"/>
        <w:rPr>
          <w:rFonts w:ascii="Times New Roman" w:hAnsi="Times New Roman" w:eastAsia="仿宋_GB2312" w:cs="方正仿宋简体"/>
          <w:kern w:val="0"/>
          <w:sz w:val="32"/>
          <w:szCs w:val="32"/>
          <w:highlight w:val="none"/>
        </w:rPr>
      </w:pPr>
      <w:r>
        <w:rPr>
          <w:rFonts w:hint="eastAsia" w:ascii="Times New Roman" w:hAnsi="Times New Roman" w:eastAsia="仿宋_GB2312" w:cs="方正仿宋简体"/>
          <w:kern w:val="0"/>
          <w:sz w:val="32"/>
          <w:szCs w:val="32"/>
          <w:highlight w:val="none"/>
        </w:rPr>
        <w:t>中国科学技术大学先进技术研究院（以下简称“先研院”）是由安徽省、中国科学院、合肥市和中国科学技术大学按照“省院合作、市校共建”的原则所建设的区域产业技术创新研究院。</w:t>
      </w:r>
    </w:p>
    <w:p>
      <w:pPr>
        <w:adjustRightInd w:val="0"/>
        <w:snapToGrid w:val="0"/>
        <w:spacing w:line="580" w:lineRule="exact"/>
        <w:ind w:firstLine="640" w:firstLineChars="200"/>
        <w:jc w:val="left"/>
        <w:rPr>
          <w:rFonts w:hint="eastAsia" w:ascii="Times New Roman" w:hAnsi="Times New Roman" w:eastAsia="仿宋_GB2312" w:cs="方正仿宋简体"/>
          <w:kern w:val="0"/>
          <w:sz w:val="32"/>
          <w:szCs w:val="32"/>
          <w:highlight w:val="none"/>
        </w:rPr>
      </w:pPr>
      <w:r>
        <w:rPr>
          <w:rFonts w:hint="eastAsia" w:ascii="Times New Roman" w:hAnsi="Times New Roman" w:eastAsia="仿宋_GB2312" w:cs="方正仿宋简体"/>
          <w:kern w:val="0"/>
          <w:sz w:val="32"/>
          <w:szCs w:val="32"/>
          <w:highlight w:val="none"/>
        </w:rPr>
        <w:t>先研院于2012年7月启动建设，2012年10月挂牌运行，一期工程占地面积574亩，已完成建设面积33.5万平米。在省院市校四方的共同努力下，建设国家量子保密通信“京沪干线”及“量子科学试验卫星”合肥总控中心，率先在世界领域开展量子远程大规模保密通信应用工程。</w:t>
      </w:r>
    </w:p>
    <w:p>
      <w:pPr>
        <w:adjustRightInd w:val="0"/>
        <w:snapToGrid w:val="0"/>
        <w:spacing w:line="580" w:lineRule="exact"/>
        <w:jc w:val="center"/>
        <w:rPr>
          <w:rFonts w:hint="eastAsia" w:ascii="Times New Roman" w:hAnsi="Times New Roman" w:eastAsia="仿宋_GB2312" w:cs="方正仿宋简体"/>
          <w:b/>
          <w:bCs/>
          <w:kern w:val="0"/>
          <w:sz w:val="32"/>
          <w:szCs w:val="32"/>
          <w:highlight w:val="none"/>
        </w:rPr>
      </w:pPr>
    </w:p>
    <w:p>
      <w:pPr>
        <w:adjustRightInd w:val="0"/>
        <w:snapToGrid w:val="0"/>
        <w:spacing w:line="580" w:lineRule="exact"/>
        <w:jc w:val="center"/>
        <w:rPr>
          <w:rFonts w:hint="default" w:ascii="Times New Roman" w:hAnsi="Times New Roman" w:eastAsia="宋体" w:cs="方正仿宋简体"/>
          <w:b/>
          <w:bCs/>
          <w:kern w:val="0"/>
          <w:sz w:val="32"/>
          <w:szCs w:val="32"/>
          <w:highlight w:val="none"/>
          <w:lang w:val="en-US" w:eastAsia="zh-CN"/>
        </w:rPr>
      </w:pPr>
      <w:r>
        <w:rPr>
          <w:rFonts w:hint="eastAsia" w:ascii="Times New Roman" w:hAnsi="Times New Roman" w:eastAsia="仿宋_GB2312" w:cs="方正仿宋简体"/>
          <w:b/>
          <w:bCs/>
          <w:kern w:val="0"/>
          <w:sz w:val="32"/>
          <w:szCs w:val="32"/>
          <w:highlight w:val="none"/>
          <w:lang w:val="en-US" w:eastAsia="zh-CN"/>
        </w:rPr>
        <w:t>合肥海赛信息科技有限公司</w:t>
      </w:r>
    </w:p>
    <w:p>
      <w:pPr>
        <w:adjustRightInd w:val="0"/>
        <w:snapToGrid w:val="0"/>
        <w:spacing w:line="580" w:lineRule="exact"/>
        <w:ind w:firstLine="640" w:firstLineChars="200"/>
        <w:jc w:val="left"/>
        <w:rPr>
          <w:rFonts w:hint="eastAsia" w:ascii="Times New Roman" w:hAnsi="Times New Roman" w:eastAsia="仿宋_GB2312" w:cs="方正仿宋简体"/>
          <w:b/>
          <w:bCs/>
          <w:kern w:val="0"/>
          <w:sz w:val="32"/>
          <w:szCs w:val="32"/>
          <w:highlight w:val="none"/>
          <w:lang w:val="en-US" w:eastAsia="zh-CN"/>
        </w:rPr>
      </w:pPr>
      <w:r>
        <w:rPr>
          <w:rFonts w:hint="eastAsia" w:ascii="Times New Roman" w:hAnsi="Times New Roman" w:eastAsia="仿宋_GB2312" w:cs="方正仿宋简体"/>
          <w:kern w:val="0"/>
          <w:sz w:val="32"/>
          <w:szCs w:val="32"/>
          <w:highlight w:val="none"/>
        </w:rPr>
        <w:t>海赛是一家专注于边缘计算和时空大数据方向的人工智能企业。海赛和中国科学技术大学大数据学院、北京大数据研究院开展产学研合作，并与中国移动、中国电信、中国联通、国家互联网应急中心、浪潮、华为、寒武纪等知名公司机构展开深度合作，目前合作伙伴渠道已覆盖华东、华北、华南、香港等地。海赛自成立以来，已开发出拥有独立自主知识产权的拳头产品，海赛智脑平台、边缘智能一体机等软硬件产品相继发布，并在城市管理、工业、教育、零售、医疗等行业成功实现应用落地。在基于时空分析的跨镜追踪、事件识别、REID跨镜追踪、小样本、无监督场景自学习等领域处于国际领先水平，部分处于唯一领先地位。</w:t>
      </w:r>
    </w:p>
    <w:p>
      <w:pPr>
        <w:adjustRightInd w:val="0"/>
        <w:snapToGrid w:val="0"/>
        <w:spacing w:line="580" w:lineRule="exact"/>
        <w:jc w:val="center"/>
        <w:rPr>
          <w:rFonts w:hint="eastAsia" w:ascii="Times New Roman" w:hAnsi="Times New Roman" w:eastAsia="仿宋_GB2312" w:cs="方正仿宋简体"/>
          <w:b/>
          <w:bCs/>
          <w:kern w:val="0"/>
          <w:sz w:val="32"/>
          <w:szCs w:val="32"/>
          <w:highlight w:val="none"/>
        </w:rPr>
      </w:pPr>
    </w:p>
    <w:p>
      <w:pPr>
        <w:numPr>
          <w:ilvl w:val="0"/>
          <w:numId w:val="0"/>
        </w:numPr>
        <w:adjustRightInd w:val="0"/>
        <w:snapToGrid w:val="0"/>
        <w:spacing w:line="580" w:lineRule="exact"/>
        <w:jc w:val="center"/>
        <w:rPr>
          <w:rFonts w:hint="eastAsia" w:ascii="Times New Roman" w:hAnsi="Times New Roman" w:eastAsia="仿宋_GB2312" w:cs="方正仿宋简体"/>
          <w:b/>
          <w:bCs/>
          <w:kern w:val="0"/>
          <w:sz w:val="32"/>
          <w:szCs w:val="32"/>
          <w:highlight w:val="none"/>
          <w:lang w:val="en-US" w:eastAsia="zh-CN"/>
        </w:rPr>
      </w:pPr>
      <w:r>
        <w:rPr>
          <w:rFonts w:hint="eastAsia" w:ascii="Times New Roman" w:hAnsi="Times New Roman" w:eastAsia="仿宋_GB2312" w:cs="方正仿宋简体"/>
          <w:b/>
          <w:bCs/>
          <w:kern w:val="0"/>
          <w:sz w:val="32"/>
          <w:szCs w:val="32"/>
          <w:highlight w:val="none"/>
          <w:lang w:val="en-US" w:eastAsia="zh-CN"/>
        </w:rPr>
        <w:t>合肥中科类脑智能技术有限公司</w:t>
      </w:r>
    </w:p>
    <w:p>
      <w:pPr>
        <w:numPr>
          <w:ilvl w:val="0"/>
          <w:numId w:val="0"/>
        </w:numPr>
        <w:adjustRightInd w:val="0"/>
        <w:snapToGrid w:val="0"/>
        <w:spacing w:line="580" w:lineRule="exact"/>
        <w:ind w:firstLine="640"/>
        <w:jc w:val="left"/>
        <w:rPr>
          <w:rFonts w:hint="eastAsia" w:ascii="Times New Roman" w:hAnsi="Times New Roman" w:eastAsia="仿宋_GB2312" w:cs="方正仿宋简体"/>
          <w:kern w:val="0"/>
          <w:sz w:val="32"/>
          <w:szCs w:val="32"/>
          <w:highlight w:val="none"/>
        </w:rPr>
      </w:pPr>
      <w:r>
        <w:rPr>
          <w:rFonts w:hint="eastAsia" w:ascii="Times New Roman" w:hAnsi="Times New Roman" w:eastAsia="仿宋_GB2312" w:cs="方正仿宋简体"/>
          <w:kern w:val="0"/>
          <w:sz w:val="32"/>
          <w:szCs w:val="32"/>
          <w:highlight w:val="none"/>
        </w:rPr>
        <w:t>合肥中科类脑智能技术有限公司以类脑智能技术及应用国家工程实验室和中国科大未来网络实验室为依托，公司将人工智能核心技术与产业融合，通过提供产品和系统解决方案来推动产业的智能升级转型。公司目前已在能源、交通、教育、平台等领域落地智能化产品解决方案，并以能源行业为标杆，打造垂直深度发展人工智能落地闭环的典范，并逐步在不同行业场景深度赋能。</w:t>
      </w:r>
    </w:p>
    <w:p>
      <w:pPr>
        <w:numPr>
          <w:ilvl w:val="0"/>
          <w:numId w:val="0"/>
        </w:numPr>
        <w:adjustRightInd w:val="0"/>
        <w:snapToGrid w:val="0"/>
        <w:spacing w:line="580" w:lineRule="exact"/>
        <w:jc w:val="left"/>
        <w:rPr>
          <w:rFonts w:hint="eastAsia" w:ascii="Times New Roman" w:hAnsi="Times New Roman" w:eastAsia="仿宋_GB2312" w:cs="方正仿宋简体"/>
          <w:b/>
          <w:bCs/>
          <w:kern w:val="0"/>
          <w:sz w:val="32"/>
          <w:szCs w:val="32"/>
          <w:highlight w:val="none"/>
          <w:lang w:val="en-US" w:eastAsia="zh-CN"/>
        </w:rPr>
      </w:pPr>
    </w:p>
    <w:p>
      <w:pPr>
        <w:numPr>
          <w:ilvl w:val="0"/>
          <w:numId w:val="0"/>
        </w:numPr>
        <w:adjustRightInd w:val="0"/>
        <w:snapToGrid w:val="0"/>
        <w:spacing w:line="580" w:lineRule="exact"/>
        <w:jc w:val="center"/>
        <w:rPr>
          <w:rFonts w:hint="eastAsia" w:ascii="Times New Roman" w:hAnsi="Times New Roman" w:eastAsia="仿宋_GB2312" w:cs="方正仿宋简体"/>
          <w:b/>
          <w:bCs/>
          <w:kern w:val="0"/>
          <w:sz w:val="32"/>
          <w:szCs w:val="32"/>
          <w:highlight w:val="none"/>
          <w:lang w:val="en-US" w:eastAsia="zh-CN"/>
        </w:rPr>
      </w:pPr>
      <w:r>
        <w:rPr>
          <w:rFonts w:hint="eastAsia" w:ascii="Times New Roman" w:hAnsi="Times New Roman" w:eastAsia="仿宋_GB2312" w:cs="方正仿宋简体"/>
          <w:b/>
          <w:bCs/>
          <w:kern w:val="0"/>
          <w:sz w:val="32"/>
          <w:szCs w:val="32"/>
          <w:highlight w:val="none"/>
          <w:lang w:val="en-US" w:eastAsia="zh-CN"/>
        </w:rPr>
        <w:t>合肥四维图新科技有限公司</w:t>
      </w:r>
    </w:p>
    <w:p>
      <w:pPr>
        <w:numPr>
          <w:ilvl w:val="0"/>
          <w:numId w:val="0"/>
        </w:numPr>
        <w:adjustRightInd w:val="0"/>
        <w:snapToGrid w:val="0"/>
        <w:spacing w:line="580" w:lineRule="exact"/>
        <w:ind w:firstLine="640"/>
        <w:jc w:val="left"/>
        <w:rPr>
          <w:rFonts w:hint="eastAsia" w:ascii="Times New Roman" w:hAnsi="Times New Roman" w:eastAsia="仿宋_GB2312" w:cs="方正仿宋简体"/>
          <w:kern w:val="0"/>
          <w:sz w:val="32"/>
          <w:szCs w:val="32"/>
          <w:highlight w:val="none"/>
        </w:rPr>
      </w:pPr>
      <w:r>
        <w:rPr>
          <w:rFonts w:hint="eastAsia" w:ascii="Times New Roman" w:hAnsi="Times New Roman" w:eastAsia="仿宋_GB2312" w:cs="方正仿宋简体"/>
          <w:kern w:val="0"/>
          <w:sz w:val="32"/>
          <w:szCs w:val="32"/>
          <w:highlight w:val="none"/>
        </w:rPr>
        <w:t>合肥四维依托集团在人工智能自动驾驶及位置大数据领域国内龙头企业的地位及技术优势，将着力转移并进一步发展自动驾驶技术整合、智能地图研发及生产、高精度定位芯片设计及研发、新能源充电平台一体化集成及应用、新一代互联网业务及智能硬件设计及制造等集团核心业务。</w:t>
      </w:r>
    </w:p>
    <w:p>
      <w:pPr>
        <w:adjustRightInd w:val="0"/>
        <w:snapToGrid w:val="0"/>
        <w:spacing w:line="580" w:lineRule="exact"/>
        <w:jc w:val="center"/>
        <w:rPr>
          <w:rFonts w:hint="eastAsia" w:ascii="Times New Roman" w:hAnsi="Times New Roman" w:eastAsia="仿宋_GB2312" w:cs="方正仿宋简体"/>
          <w:b/>
          <w:bCs/>
          <w:kern w:val="0"/>
          <w:sz w:val="32"/>
          <w:szCs w:val="32"/>
          <w:highlight w:val="none"/>
        </w:rPr>
      </w:pPr>
    </w:p>
    <w:p>
      <w:pPr>
        <w:adjustRightInd w:val="0"/>
        <w:snapToGrid w:val="0"/>
        <w:spacing w:line="580" w:lineRule="exact"/>
        <w:jc w:val="center"/>
        <w:rPr>
          <w:rFonts w:hint="default" w:ascii="Times New Roman" w:hAnsi="Times New Roman" w:eastAsia="仿宋_GB2312" w:cs="方正仿宋简体"/>
          <w:b/>
          <w:bCs/>
          <w:kern w:val="0"/>
          <w:sz w:val="32"/>
          <w:szCs w:val="32"/>
          <w:highlight w:val="none"/>
          <w:lang w:val="en-US" w:eastAsia="zh-CN"/>
        </w:rPr>
      </w:pPr>
      <w:r>
        <w:rPr>
          <w:rFonts w:hint="eastAsia" w:ascii="Times New Roman" w:hAnsi="Times New Roman" w:eastAsia="仿宋_GB2312" w:cs="方正仿宋简体"/>
          <w:b/>
          <w:bCs/>
          <w:kern w:val="0"/>
          <w:sz w:val="32"/>
          <w:szCs w:val="32"/>
          <w:highlight w:val="none"/>
        </w:rPr>
        <w:t>科大讯飞</w:t>
      </w:r>
      <w:r>
        <w:rPr>
          <w:rFonts w:hint="eastAsia" w:ascii="Times New Roman" w:hAnsi="Times New Roman" w:eastAsia="仿宋_GB2312" w:cs="方正仿宋简体"/>
          <w:b/>
          <w:bCs/>
          <w:kern w:val="0"/>
          <w:sz w:val="32"/>
          <w:szCs w:val="32"/>
          <w:highlight w:val="none"/>
          <w:lang w:val="en-US" w:eastAsia="zh-CN"/>
        </w:rPr>
        <w:t>股份有限公司</w:t>
      </w:r>
    </w:p>
    <w:p>
      <w:pPr>
        <w:adjustRightInd w:val="0"/>
        <w:snapToGrid w:val="0"/>
        <w:spacing w:line="580" w:lineRule="exact"/>
        <w:ind w:firstLine="640" w:firstLineChars="200"/>
        <w:jc w:val="left"/>
        <w:rPr>
          <w:rFonts w:hint="default" w:ascii="Times New Roman" w:hAnsi="Times New Roman" w:eastAsia="仿宋_GB2312" w:cs="方正仿宋简体"/>
          <w:kern w:val="0"/>
          <w:sz w:val="32"/>
          <w:szCs w:val="32"/>
          <w:highlight w:val="none"/>
          <w:lang w:val="en-US" w:eastAsia="zh-CN"/>
        </w:rPr>
      </w:pPr>
      <w:r>
        <w:rPr>
          <w:rFonts w:hint="eastAsia" w:ascii="Times New Roman" w:hAnsi="Times New Roman" w:eastAsia="仿宋_GB2312" w:cs="方正仿宋简体"/>
          <w:kern w:val="0"/>
          <w:sz w:val="32"/>
          <w:szCs w:val="32"/>
          <w:highlight w:val="none"/>
        </w:rPr>
        <w:t>科大讯飞是一家专业从事智能语音及语言技术研究、软件及芯片产品开发、语音信息服务及电子政务系统集成的国家级骨干软件企业、其智能语音核心技术代表了世界的最高水平，是我国产业化实体中，在语音技术领域中基础研究时间最长、资产规模最大、历届测评成绩最好、专业人才最多及市场占有率最高的公司。科大讯飞还是我国唯一以语音技术为产业化方向的“国家863计划成果产业化基地”、“国家规划布局内重点软件企业”、“国家高技术产业化示范工程”，并被原信息产业部确定为中文语音交互技术标准工作组组长单位，牵头制定中文语音技术标准。</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eastAsiaTheme="minorEastAsia" w:cstheme="minorBidi"/>
        <w:kern w:val="2"/>
        <w:sz w:val="21"/>
        <w:szCs w:val="22"/>
        <w:lang w:val="en-US" w:eastAsia="zh-CN" w:bidi="ar-SA"/>
      </w:rPr>
      <w:id w:val="29309391"/>
    </w:sdtPr>
    <w:sdtEndPr>
      <w:rPr>
        <w:rFonts w:asciiTheme="minorHAnsi" w:hAnsiTheme="minorHAnsi" w:eastAsiaTheme="minorEastAsia" w:cstheme="minorBidi"/>
        <w:kern w:val="2"/>
        <w:sz w:val="21"/>
        <w:szCs w:val="22"/>
        <w:lang w:val="en-US" w:eastAsia="zh-CN" w:bidi="ar-SA"/>
      </w:rPr>
    </w:sdtEnd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1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2021-06-04T00:56:02Z</dcterms:created>
  <dc:creator>Administrator</dc:creator>
  <cp:lastModifiedBy>Orfila</cp:lastModifiedBy>
  <dcterms:modified xsi:type="dcterms:W3CDTF">2021-06-04T00:56:28Z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F5BF09E8A0224C52BD3DEB7120C0612E</vt:lpwstr>
  </property>
</Properties>
</file>