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苏州工业园区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深入推进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  <w:t>上市苗圃工程的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实施细则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为贯彻落实党中央、国务院关于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全面深化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资本市场改革的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决策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部署，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抢抓全面注册制改革机遇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发挥资本市场支持产业创新集群发展作用，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深入推进苏州工业园区（以下简称“园区”）上市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苗圃工程实施，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根据《苏州工业园区关于进一步推进企业上市及高质量发展的实施意见》（苏园管〔2022〕3号）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等文件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精神，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结合园区实际，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制定本实施细则。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总体目标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上市苗圃工程聚焦企业上市培育，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优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主营业务突出、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竞争力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显著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、上市意愿强烈的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潜力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企业为培育对象，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整合关键优质资源，提升企业资本市场认知，引导企业规范经营，加速企业业务发展，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夯实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可持续的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上市后备梯队，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助力更多优质企业登陆资本市场实现更高质量发展，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为开放创新的世界一流高科技园区建设提供有力支撑。力争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2026年底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工程入库企业累计不少于500家，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输送拟上市企业不少于100家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打造服务企业上市及高质量发展的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示范标杆品牌。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主要举措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优化苗圃企业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入库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标准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苗圃工程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入库企业为苗圃企业，主要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面向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在境内上市且注册在园区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或计划在境外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主要资本市场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上市、上市主体在境外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主要经营主体注册在园区的企业。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苗圃企业按照发展阶段细分为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基础企业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拟上市企业，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实施分层分类精准培育。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具体标准如下：</w:t>
      </w:r>
    </w:p>
    <w:p>
      <w:pPr>
        <w:widowControl w:val="0"/>
        <w:numPr>
          <w:ilvl w:val="0"/>
          <w:numId w:val="3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基础企业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应当至少符合下列标准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中的一项：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年净利润均不低于1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00万元；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年营业收入平均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5000万元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且最近一年营业收入增长率不低于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）最近两年研发投入合计不低于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投后估值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应当至少符合下列标准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中的一项：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年净利润均不低于1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00万元；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年营业收入平均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000万元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且最近一年营业收入增长率不低于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）最近两年研发投入合计不低于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投后估值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拟上市企业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符合或基本符合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拟申报板块的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，并与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证券公司、会计师事务所、律师事务所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等中介机构签订上市服务协议并进入实质操作阶段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且在金融发展和风险防范局完成拟上市企业认定备案。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获得区级及以上专精特新、瞪羚、瞪羚培育、独角兽、潜在独角兽等资质的企业，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可适当放宽入库条件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苗圃企业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动态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管理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优化入库申报。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企业发展服务中心增设苗圃企业服务专窗，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开通上市苗圃工程线上服务平台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充分挖掘符合条件的优质企业积极申报，常态化受理、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集中评审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择优入库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，争取实现“应入尽入”。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基础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为重点企业，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需提交申请，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评审通过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后完成升级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基础企业和重点企业完成园区拟上市企业认定备案后，升级为拟上市企业。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出库管理。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企业有以下情况之一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做出库处理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：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在境内外主要资本市场完成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）注册地址、主要经营主体迁出园区；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注销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或被吊销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 xml:space="preserve"> 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发生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重大违法违规事项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）其他经认定情况。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提升上市苗圃工程培育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体系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人才链、产业链、资金链、创新链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深度融合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组建“苗圃伙伴”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服务团队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凝聚最大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服务合力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，推动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苗圃企业层层递进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，构建从基础企业升级至上市企业的完整培育机制与良性服务生态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强化专业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培训指导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协调能力好、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意识佳的优质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证券公司、会计师事务所、律师事务所等中介机构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导师库，围绕政策监管、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财务审计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公司治理等上市关键点开展培训指导，提升企业资本市场认知水平及合规经营意识，引导企业科学规划目标板块与上市路径，从源头提升上市公司质量。鼓励中介机构在园区提档升级，配强本地团队、导入总部资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及合作伙伴资源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，发挥特色特长，持续提升服务能力，为苗圃企业积极搭建投融资对接、产业链对接等合作交流平台。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强化金融资源支持。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鼓励银行加大对苗圃企业资金支持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积极推广“苗圃贷”等金融创新产品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充分发挥风险补偿资金池作用，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给予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符合条件的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基础企业、重点企业最高2000万元信用贷款，给予拟上市企业最高1亿元信用贷款。鼓励国有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资本、社会资本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加大对苗圃企业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力度，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对苗圃企业投资覆盖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面，全方位加强投后赋能服务。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金融机构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创新，针对苗圃企业定制金融产品，提供灵活多样的综合金融服务。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强化产业资源赋能。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根据苗圃企业需求，分行业、分赛道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组织开展产业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链合作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产学研对接、标杆企业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、上市公司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调研等交流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为苗圃企业积极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市场开拓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开放交流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企业之间协同合作、资源共享、融合发展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经验交流，助力苗圃企业少走弯路，坚定上市信心。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</w:rPr>
        <w:t>强化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</w:rPr>
        <w:t>服务职能。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进一步发挥“上市苗圃党建联盟”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以党建引领助企惠企，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做实做深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业务指导针对性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规范化水平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，夯实企业发展根基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主动靠前服务，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强化部门协同，依法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及时协调解决企业问题困难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苗圃企业上市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实现高质量发展保驾护航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保障措施</w:t>
      </w:r>
    </w:p>
    <w:p>
      <w:pPr>
        <w:widowControl w:val="0"/>
        <w:numPr>
          <w:ilvl w:val="0"/>
          <w:numId w:val="6"/>
        </w:numPr>
        <w:tabs>
          <w:tab w:val="left" w:pos="1560"/>
        </w:tabs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组织保障。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上市苗圃工程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由金融发展和风险防范局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牵头指导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企业发展服务中心具体实施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，各功能区、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部委办局协同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企业发展服务中心安排服务专员挂钩联系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建立“一企一档”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，加强跟踪服务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。金融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发展和风险防范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拟上市企业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提供“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一对一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”式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服务，加快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企业上市进程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重大事项向上市工作领导小组汇报。</w:t>
      </w:r>
    </w:p>
    <w:p>
      <w:pPr>
        <w:widowControl w:val="0"/>
        <w:numPr>
          <w:ilvl w:val="0"/>
          <w:numId w:val="6"/>
        </w:numPr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政策保障。拟上市企业按照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《苏州工业园区关于进一步推进企业上市及高质量发展的实施意见》（苏园管〔2022〕3号）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相关规定，享受分阶段扶持政策。</w:t>
      </w:r>
    </w:p>
    <w:p>
      <w:pPr>
        <w:widowControl w:val="0"/>
        <w:numPr>
          <w:ilvl w:val="0"/>
          <w:numId w:val="6"/>
        </w:numPr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  <w:lang w:eastAsia="zh-CN"/>
        </w:rPr>
        <w:t>经费保障。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上市苗圃工程制定年度工作计划、明确考核目标，根据实际执行情况，从苗圃工程专项列支相关费用。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其他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本实施细则自印发之日起施行，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有效期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3年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原《苏州工业园区关于实施企业上市苗圃工程的计划》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（苏园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管〔20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废止。本实施细则由金融发展和风险防范局负责具体解释工作。</w:t>
      </w:r>
    </w:p>
    <w:sectPr>
      <w:footerReference r:id="rId3" w:type="default"/>
      <w:pgSz w:w="11906" w:h="16838"/>
      <w:pgMar w:top="1985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spacing w:line="242" w:lineRule="auto"/>
      <w:ind w:right="263"/>
      <w:jc w:val="right"/>
      <w:rPr>
        <w:rFonts w:ascii="仿宋" w:hAnsi="仿宋" w:eastAsia="仿宋" w:cs="仿宋"/>
        <w:sz w:val="33"/>
        <w:szCs w:val="3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AA310"/>
    <w:multiLevelType w:val="singleLevel"/>
    <w:tmpl w:val="967AA3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11B137B"/>
    <w:multiLevelType w:val="singleLevel"/>
    <w:tmpl w:val="E11B13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648A1E"/>
    <w:multiLevelType w:val="singleLevel"/>
    <w:tmpl w:val="01648A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E28C909"/>
    <w:multiLevelType w:val="singleLevel"/>
    <w:tmpl w:val="1E28C90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482C5E"/>
    <w:multiLevelType w:val="multilevel"/>
    <w:tmpl w:val="57482C5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A32F7A"/>
    <w:multiLevelType w:val="singleLevel"/>
    <w:tmpl w:val="63A32F7A"/>
    <w:lvl w:ilvl="0" w:tentative="0">
      <w:start w:val="1"/>
      <w:numFmt w:val="chineseCounting"/>
      <w:suff w:val="nothing"/>
      <w:lvlText w:val="（%1）"/>
      <w:lvlJc w:val="left"/>
      <w:pPr>
        <w:ind w:left="1424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67085168"/>
    <w:rsid w:val="000275C4"/>
    <w:rsid w:val="0004520C"/>
    <w:rsid w:val="000E244D"/>
    <w:rsid w:val="001034DF"/>
    <w:rsid w:val="00115B31"/>
    <w:rsid w:val="001467A6"/>
    <w:rsid w:val="001C7AA9"/>
    <w:rsid w:val="001F5AC2"/>
    <w:rsid w:val="00221193"/>
    <w:rsid w:val="002316F4"/>
    <w:rsid w:val="002566B4"/>
    <w:rsid w:val="00263E09"/>
    <w:rsid w:val="00265B16"/>
    <w:rsid w:val="002B6F06"/>
    <w:rsid w:val="002B73D3"/>
    <w:rsid w:val="003B7267"/>
    <w:rsid w:val="00401685"/>
    <w:rsid w:val="00414A1B"/>
    <w:rsid w:val="00417037"/>
    <w:rsid w:val="00445585"/>
    <w:rsid w:val="00447F66"/>
    <w:rsid w:val="00492103"/>
    <w:rsid w:val="004A19D4"/>
    <w:rsid w:val="005123FD"/>
    <w:rsid w:val="005162E8"/>
    <w:rsid w:val="00556E13"/>
    <w:rsid w:val="005844A8"/>
    <w:rsid w:val="005E01C8"/>
    <w:rsid w:val="0060065C"/>
    <w:rsid w:val="00650554"/>
    <w:rsid w:val="00657E29"/>
    <w:rsid w:val="0069157B"/>
    <w:rsid w:val="00721599"/>
    <w:rsid w:val="007578D4"/>
    <w:rsid w:val="00794060"/>
    <w:rsid w:val="007A04F1"/>
    <w:rsid w:val="007F4E31"/>
    <w:rsid w:val="00805495"/>
    <w:rsid w:val="00812D26"/>
    <w:rsid w:val="00821A58"/>
    <w:rsid w:val="00853519"/>
    <w:rsid w:val="008766B0"/>
    <w:rsid w:val="00877C24"/>
    <w:rsid w:val="008D1817"/>
    <w:rsid w:val="008E56CC"/>
    <w:rsid w:val="008E7126"/>
    <w:rsid w:val="008F5DC3"/>
    <w:rsid w:val="00905351"/>
    <w:rsid w:val="0092798E"/>
    <w:rsid w:val="0095706D"/>
    <w:rsid w:val="00966DAB"/>
    <w:rsid w:val="009D3D59"/>
    <w:rsid w:val="009E61FF"/>
    <w:rsid w:val="009E773F"/>
    <w:rsid w:val="00A12A24"/>
    <w:rsid w:val="00A32E93"/>
    <w:rsid w:val="00A730B0"/>
    <w:rsid w:val="00A74A9B"/>
    <w:rsid w:val="00A95D99"/>
    <w:rsid w:val="00AB1035"/>
    <w:rsid w:val="00AF7359"/>
    <w:rsid w:val="00B47AAF"/>
    <w:rsid w:val="00B52ACB"/>
    <w:rsid w:val="00BC4789"/>
    <w:rsid w:val="00BD0DB0"/>
    <w:rsid w:val="00C0247D"/>
    <w:rsid w:val="00C040E4"/>
    <w:rsid w:val="00D4380C"/>
    <w:rsid w:val="00D6353D"/>
    <w:rsid w:val="00DB66A3"/>
    <w:rsid w:val="00DD0D10"/>
    <w:rsid w:val="00DD1BF7"/>
    <w:rsid w:val="00DE7B55"/>
    <w:rsid w:val="00DF6047"/>
    <w:rsid w:val="00E1056B"/>
    <w:rsid w:val="00E130A4"/>
    <w:rsid w:val="00E22A4B"/>
    <w:rsid w:val="00E54CFB"/>
    <w:rsid w:val="00E8229F"/>
    <w:rsid w:val="00ED67C4"/>
    <w:rsid w:val="00F36329"/>
    <w:rsid w:val="00F64494"/>
    <w:rsid w:val="00F83BF8"/>
    <w:rsid w:val="00F8441E"/>
    <w:rsid w:val="010737A9"/>
    <w:rsid w:val="038E7899"/>
    <w:rsid w:val="03B7227C"/>
    <w:rsid w:val="0509577A"/>
    <w:rsid w:val="076403F3"/>
    <w:rsid w:val="0795568F"/>
    <w:rsid w:val="094215F2"/>
    <w:rsid w:val="0A1D60EA"/>
    <w:rsid w:val="0B4D3BF1"/>
    <w:rsid w:val="0CBE2623"/>
    <w:rsid w:val="0DB47EB7"/>
    <w:rsid w:val="0E6D26A5"/>
    <w:rsid w:val="0F4B2439"/>
    <w:rsid w:val="12240FC8"/>
    <w:rsid w:val="12791770"/>
    <w:rsid w:val="176B5183"/>
    <w:rsid w:val="17CA0EC3"/>
    <w:rsid w:val="189878E3"/>
    <w:rsid w:val="1A5C0C24"/>
    <w:rsid w:val="1DB91FA2"/>
    <w:rsid w:val="209B481A"/>
    <w:rsid w:val="26A3390D"/>
    <w:rsid w:val="28A5151D"/>
    <w:rsid w:val="29FC0281"/>
    <w:rsid w:val="2A595B4B"/>
    <w:rsid w:val="2EC41B6D"/>
    <w:rsid w:val="30B01058"/>
    <w:rsid w:val="32AC7FC3"/>
    <w:rsid w:val="35003219"/>
    <w:rsid w:val="363F6194"/>
    <w:rsid w:val="38AA1B3D"/>
    <w:rsid w:val="3A292D2C"/>
    <w:rsid w:val="3BB118A7"/>
    <w:rsid w:val="3ED656D0"/>
    <w:rsid w:val="3F035D9A"/>
    <w:rsid w:val="3F760C61"/>
    <w:rsid w:val="3F7619FB"/>
    <w:rsid w:val="44332A06"/>
    <w:rsid w:val="466A2D3A"/>
    <w:rsid w:val="4964151B"/>
    <w:rsid w:val="4B136AB3"/>
    <w:rsid w:val="4B9514B8"/>
    <w:rsid w:val="4BDD5FE7"/>
    <w:rsid w:val="4CB02CCD"/>
    <w:rsid w:val="4E3D44BC"/>
    <w:rsid w:val="5032409D"/>
    <w:rsid w:val="52101E71"/>
    <w:rsid w:val="58D72319"/>
    <w:rsid w:val="59E84CFE"/>
    <w:rsid w:val="5B9A7DD9"/>
    <w:rsid w:val="5C4B0AE1"/>
    <w:rsid w:val="5F322A9A"/>
    <w:rsid w:val="61602D86"/>
    <w:rsid w:val="63515F05"/>
    <w:rsid w:val="6434127B"/>
    <w:rsid w:val="67085168"/>
    <w:rsid w:val="686208DC"/>
    <w:rsid w:val="6A831E67"/>
    <w:rsid w:val="6C4433CA"/>
    <w:rsid w:val="6CB247D7"/>
    <w:rsid w:val="6DAE5260"/>
    <w:rsid w:val="707667F7"/>
    <w:rsid w:val="70D2369A"/>
    <w:rsid w:val="72E17E55"/>
    <w:rsid w:val="748C1DB2"/>
    <w:rsid w:val="75875628"/>
    <w:rsid w:val="7768558B"/>
    <w:rsid w:val="79123ACF"/>
    <w:rsid w:val="79372177"/>
    <w:rsid w:val="7A58320C"/>
    <w:rsid w:val="7D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15">
    <w:name w:val="批注框文本 Char"/>
    <w:basedOn w:val="8"/>
    <w:link w:val="3"/>
    <w:semiHidden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40B3-55A5-4BE1-BEBC-26431D838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2275</Words>
  <Characters>2320</Characters>
  <Lines>17</Lines>
  <Paragraphs>4</Paragraphs>
  <TotalTime>207</TotalTime>
  <ScaleCrop>false</ScaleCrop>
  <LinksUpToDate>false</LinksUpToDate>
  <CharactersWithSpaces>2324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2023-07-05T07:16:00Z</dcterms:created>
  <dc:creator>陈莉斯</dc:creator>
  <cp:lastModifiedBy>陈莉斯</cp:lastModifiedBy>
  <cp:lastPrinted>2023-07-12T04:18:00Z</cp:lastPrinted>
  <dcterms:modified xsi:type="dcterms:W3CDTF">2023-07-27T06:04:38Z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E47003C8A64649B69BB4BE0AE73A517C_13</vt:lpwstr>
  </property>
</Properties>
</file>