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56" w:after="156" w:line="360" w:lineRule="auto"/>
        <w:ind w:firstLine="643"/>
        <w:jc w:val="center"/>
        <w:rPr>
          <w:rFonts w:hint="eastAsia" w:ascii="黑体" w:hAnsi="黑体" w:eastAsia="黑体"/>
          <w:sz w:val="32"/>
          <w:szCs w:val="32"/>
          <w:highlight w:val="none"/>
        </w:rPr>
      </w:pPr>
      <w:r>
        <w:rPr>
          <w:rFonts w:hint="eastAsia" w:ascii="黑体" w:hAnsi="黑体" w:eastAsia="黑体"/>
          <w:sz w:val="32"/>
          <w:szCs w:val="32"/>
          <w:highlight w:val="none"/>
        </w:rPr>
        <w:t>苏州工业园区总部企业认定申报_操作手册</w:t>
      </w:r>
    </w:p>
    <w:p>
      <w:pPr>
        <w:pStyle w:val="2"/>
        <w:spacing w:before="156" w:after="156" w:line="360" w:lineRule="auto"/>
        <w:ind w:firstLine="643"/>
        <w:jc w:val="center"/>
        <w:rPr>
          <w:rFonts w:ascii="黑体" w:hAnsi="黑体" w:eastAsia="黑体"/>
          <w:sz w:val="30"/>
          <w:szCs w:val="30"/>
          <w:highlight w:val="none"/>
        </w:rPr>
      </w:pPr>
      <w:r>
        <w:rPr>
          <w:rFonts w:hint="eastAsia" w:ascii="黑体" w:hAnsi="黑体" w:eastAsia="黑体"/>
          <w:sz w:val="30"/>
          <w:szCs w:val="30"/>
          <w:highlight w:val="none"/>
        </w:rPr>
        <w:t>（</w:t>
      </w:r>
      <w:r>
        <w:rPr>
          <w:rFonts w:hint="eastAsia" w:ascii="黑体" w:hAnsi="黑体" w:eastAsia="黑体"/>
          <w:sz w:val="30"/>
          <w:szCs w:val="30"/>
          <w:highlight w:val="none"/>
          <w:lang w:val="en-US" w:eastAsia="zh-CN"/>
        </w:rPr>
        <w:t>正式</w:t>
      </w:r>
      <w:r>
        <w:rPr>
          <w:rFonts w:hint="eastAsia" w:ascii="黑体" w:hAnsi="黑体" w:eastAsia="黑体"/>
          <w:sz w:val="30"/>
          <w:szCs w:val="30"/>
          <w:highlight w:val="none"/>
        </w:rPr>
        <w:t>环境-企业端）</w:t>
      </w:r>
    </w:p>
    <w:p>
      <w:pPr>
        <w:pStyle w:val="2"/>
        <w:numPr>
          <w:ilvl w:val="0"/>
          <w:numId w:val="1"/>
        </w:numPr>
        <w:spacing w:before="156" w:after="156" w:line="360" w:lineRule="auto"/>
        <w:ind w:firstLine="0" w:firstLineChars="0"/>
        <w:rPr>
          <w:rFonts w:ascii="微软雅黑" w:hAnsi="微软雅黑" w:eastAsia="微软雅黑"/>
          <w:sz w:val="30"/>
          <w:szCs w:val="30"/>
          <w:highlight w:val="none"/>
        </w:rPr>
      </w:pPr>
      <w:r>
        <w:rPr>
          <w:rFonts w:hint="eastAsia" w:ascii="微软雅黑" w:hAnsi="微软雅黑" w:eastAsia="微软雅黑"/>
          <w:sz w:val="30"/>
          <w:szCs w:val="30"/>
          <w:highlight w:val="none"/>
        </w:rPr>
        <w:t>访问地址</w:t>
      </w:r>
    </w:p>
    <w:p>
      <w:pPr>
        <w:spacing w:before="156" w:after="156"/>
        <w:ind w:firstLine="480"/>
        <w:rPr>
          <w:rFonts w:hint="eastAsia" w:asciiTheme="minorEastAsia" w:hAnsiTheme="minorEastAsia" w:eastAsiaTheme="minorEastAsia" w:cstheme="minorEastAsia"/>
          <w:highlight w:val="none"/>
          <w:lang w:eastAsia="zh-CN"/>
        </w:rPr>
      </w:pPr>
      <w:r>
        <w:rPr>
          <w:rFonts w:hint="eastAsia" w:asciiTheme="minorEastAsia" w:hAnsiTheme="minorEastAsia" w:cstheme="minorEastAsia"/>
          <w:highlight w:val="none"/>
        </w:rPr>
        <w:t>企业</w:t>
      </w:r>
      <w:r>
        <w:rPr>
          <w:rFonts w:hint="eastAsia" w:asciiTheme="minorEastAsia" w:hAnsiTheme="minorEastAsia" w:cstheme="minorEastAsia"/>
          <w:highlight w:val="none"/>
          <w:lang w:val="en-US" w:eastAsia="zh-CN"/>
        </w:rPr>
        <w:t>打开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HYPERLINK "http://sme.sipac.gov.cn/" </w:instrText>
      </w:r>
      <w:r>
        <w:rPr>
          <w:highlight w:val="none"/>
        </w:rPr>
        <w:fldChar w:fldCharType="separate"/>
      </w:r>
      <w:r>
        <w:rPr>
          <w:rFonts w:hint="eastAsia" w:asciiTheme="minorEastAsia" w:hAnsiTheme="minorEastAsia" w:cstheme="minorEastAsia"/>
          <w:b/>
          <w:bCs/>
          <w:highlight w:val="none"/>
        </w:rPr>
        <w:t>苏州工业园区企业发展服务中心</w:t>
      </w:r>
      <w:r>
        <w:rPr>
          <w:rFonts w:hint="eastAsia" w:asciiTheme="minorEastAsia" w:hAnsiTheme="minorEastAsia" w:cstheme="minorEastAsia"/>
          <w:highlight w:val="none"/>
        </w:rPr>
        <w:t>网站</w:t>
      </w:r>
      <w:r>
        <w:rPr>
          <w:rFonts w:hint="eastAsia" w:asciiTheme="minorEastAsia" w:hAnsiTheme="minorEastAsia" w:cstheme="minorEastAsia"/>
          <w:highlight w:val="none"/>
        </w:rPr>
        <w:fldChar w:fldCharType="end"/>
      </w:r>
      <w:r>
        <w:rPr>
          <w:rFonts w:hint="eastAsia" w:asciiTheme="minorEastAsia" w:hAnsiTheme="minorEastAsia" w:cstheme="minorEastAsia"/>
          <w:highlight w:val="none"/>
          <w:lang w:eastAsia="zh-CN"/>
        </w:rPr>
        <w:t>（http://sme.sipac.gov.cn/），</w:t>
      </w:r>
      <w:r>
        <w:rPr>
          <w:rFonts w:hint="eastAsia" w:asciiTheme="minorEastAsia" w:hAnsiTheme="minorEastAsia" w:cstheme="minorEastAsia"/>
          <w:highlight w:val="none"/>
          <w:lang w:val="en-US" w:eastAsia="zh-CN"/>
        </w:rPr>
        <w:t>点击右上角“登录”选择企业用户</w:t>
      </w:r>
      <w:r>
        <w:rPr>
          <w:rFonts w:hint="eastAsia" w:asciiTheme="minorEastAsia" w:hAnsiTheme="minorEastAsia" w:cstheme="minorEastAsia"/>
          <w:highlight w:val="none"/>
        </w:rPr>
        <w:t>登录</w:t>
      </w:r>
      <w:r>
        <w:rPr>
          <w:rFonts w:hint="eastAsia" w:asciiTheme="minorEastAsia" w:hAnsiTheme="minorEastAsia" w:cstheme="minorEastAsia"/>
          <w:highlight w:val="none"/>
          <w:lang w:eastAsia="zh-CN"/>
        </w:rPr>
        <w:t>。</w:t>
      </w:r>
    </w:p>
    <w:p>
      <w:pPr>
        <w:spacing w:before="156" w:after="156"/>
        <w:ind w:left="0" w:leftChars="0" w:firstLine="0" w:firstLineChars="0"/>
        <w:rPr>
          <w:rFonts w:hint="eastAsia" w:asciiTheme="minorEastAsia" w:hAnsiTheme="minorEastAsia" w:cstheme="minorEastAsia"/>
          <w:highlight w:val="none"/>
          <w:lang w:eastAsia="zh-CN"/>
        </w:rPr>
      </w:pPr>
      <w:r>
        <w:drawing>
          <wp:inline distT="0" distB="0" distL="114300" distR="114300">
            <wp:extent cx="5267960" cy="2123440"/>
            <wp:effectExtent l="12700" t="12700" r="15240" b="228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2344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left="0" w:leftChars="0" w:firstLine="0" w:firstLineChars="0"/>
        <w:jc w:val="left"/>
      </w:pPr>
      <w:r>
        <w:drawing>
          <wp:inline distT="0" distB="0" distL="114300" distR="114300">
            <wp:extent cx="5264785" cy="2538730"/>
            <wp:effectExtent l="12700" t="12700" r="1841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3873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156" w:after="156" w:line="360" w:lineRule="auto"/>
        <w:ind w:firstLine="0" w:firstLineChars="0"/>
        <w:rPr>
          <w:rFonts w:ascii="微软雅黑" w:hAnsi="微软雅黑" w:eastAsia="微软雅黑"/>
          <w:sz w:val="30"/>
          <w:szCs w:val="30"/>
          <w:highlight w:val="none"/>
        </w:rPr>
      </w:pPr>
      <w:r>
        <w:rPr>
          <w:rFonts w:hint="eastAsia" w:ascii="微软雅黑" w:hAnsi="微软雅黑" w:eastAsia="微软雅黑"/>
          <w:sz w:val="30"/>
          <w:szCs w:val="30"/>
          <w:highlight w:val="none"/>
        </w:rPr>
        <w:t>操作步骤</w:t>
      </w:r>
    </w:p>
    <w:p>
      <w:pPr>
        <w:pStyle w:val="3"/>
        <w:numPr>
          <w:ilvl w:val="0"/>
          <w:numId w:val="2"/>
        </w:numPr>
        <w:spacing w:before="156" w:after="156" w:line="360" w:lineRule="auto"/>
        <w:ind w:firstLine="0" w:firstLineChars="0"/>
        <w:rPr>
          <w:rFonts w:hint="eastAsia" w:ascii="微软雅黑" w:hAnsi="微软雅黑" w:eastAsia="微软雅黑"/>
          <w:sz w:val="30"/>
          <w:szCs w:val="30"/>
          <w:highlight w:val="none"/>
        </w:rPr>
      </w:pPr>
      <w:r>
        <w:rPr>
          <w:rFonts w:hint="eastAsia" w:ascii="微软雅黑" w:hAnsi="微软雅黑" w:eastAsia="微软雅黑"/>
          <w:sz w:val="30"/>
          <w:szCs w:val="30"/>
          <w:highlight w:val="none"/>
          <w:lang w:val="en-US" w:eastAsia="zh-CN"/>
        </w:rPr>
        <w:t>进入</w:t>
      </w:r>
      <w:bookmarkStart w:id="0" w:name="_GoBack"/>
      <w:bookmarkEnd w:id="0"/>
    </w:p>
    <w:p>
      <w:pPr>
        <w:spacing w:before="156" w:after="156"/>
        <w:ind w:firstLine="480"/>
        <w:rPr>
          <w:rFonts w:hint="default" w:asciiTheme="minorEastAsia" w:hAnsiTheme="minorEastAsia" w:cstheme="minorEastAsia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highlight w:val="none"/>
          <w:lang w:val="en-US" w:eastAsia="zh-CN"/>
        </w:rPr>
        <w:t>企业登录后点击“进入企业用户空间”。</w:t>
      </w:r>
    </w:p>
    <w:p>
      <w:pPr>
        <w:spacing w:before="156" w:after="156"/>
        <w:ind w:left="0" w:leftChars="0" w:firstLine="0" w:firstLineChars="0"/>
        <w:jc w:val="left"/>
      </w:pPr>
      <w:r>
        <w:drawing>
          <wp:inline distT="0" distB="0" distL="114300" distR="114300">
            <wp:extent cx="5266690" cy="2291715"/>
            <wp:effectExtent l="12700" t="12700" r="16510" b="1968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1715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rPr>
          <w:rFonts w:hint="default" w:asciiTheme="minorEastAsia" w:hAnsiTheme="minorEastAsia" w:cstheme="minorEastAsia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highlight w:val="none"/>
          <w:lang w:val="en-US" w:eastAsia="zh-CN"/>
        </w:rPr>
        <w:t>选择“财政专项资金平台”进入。</w:t>
      </w:r>
    </w:p>
    <w:p>
      <w:pPr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71135" cy="2480945"/>
            <wp:effectExtent l="12700" t="12700" r="24765" b="2095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80945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420" w:firstLineChars="175"/>
        <w:rPr>
          <w:rFonts w:hint="default" w:asciiTheme="minorEastAsia" w:hAnsiTheme="minorEastAsia" w:eastAsiaTheme="minorEastAsia" w:cstheme="minorEastAsia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highlight w:val="none"/>
          <w:lang w:val="en-US" w:eastAsia="zh-CN"/>
        </w:rPr>
        <w:t>在财政专项资金平台的导航栏或是快速通道中，选择“资金申报”。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73675" cy="2303145"/>
            <wp:effectExtent l="12700" t="12700" r="22225" b="2095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03145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420" w:firstLineChars="175"/>
        <w:rPr>
          <w:rFonts w:hint="default" w:asciiTheme="minorEastAsia" w:hAnsiTheme="minorEastAsia" w:cstheme="minorEastAsia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highlight w:val="none"/>
          <w:lang w:val="en-US" w:eastAsia="zh-CN"/>
        </w:rPr>
        <w:t>选择主管部门：经发委、申报专题：苏州工业园区总部企业，点击“进入”，进入苏州工业园区总部企业的专题页面中。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67325" cy="1593215"/>
            <wp:effectExtent l="12700" t="12700" r="15875" b="1968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rcRect t="1608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93215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Theme="minorEastAsia" w:hAnsiTheme="minorEastAsia" w:cstheme="minorEastAsia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highlight w:val="none"/>
          <w:lang w:val="en-US" w:eastAsia="zh-CN"/>
        </w:rPr>
        <w:t>在业务办理中找到具体业务事项“苏州工业园区总部企业认定”，可点击“申报”进入下一步申报类型的选择。</w:t>
      </w:r>
    </w:p>
    <w:p>
      <w:pPr>
        <w:numPr>
          <w:ilvl w:val="0"/>
          <w:numId w:val="0"/>
        </w:numPr>
        <w:ind w:firstLine="420" w:firstLineChars="0"/>
        <w:rPr>
          <w:rFonts w:hint="default" w:asciiTheme="minorEastAsia" w:hAnsiTheme="minorEastAsia" w:cstheme="minorEastAsia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highlight w:val="none"/>
          <w:lang w:val="en-US" w:eastAsia="zh-CN"/>
        </w:rPr>
        <w:t>若已填写申报的，可点击“申报记录”进入查看记录信息，包括申请状态、填报内容等。</w:t>
      </w:r>
    </w:p>
    <w:p>
      <w:pPr>
        <w:ind w:left="0" w:leftChars="0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36340"/>
            <wp:effectExtent l="12700" t="12700" r="16510" b="22860"/>
            <wp:docPr id="19" name="图片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"/>
                    <pic:cNvPicPr>
                      <a:picLocks noChangeAspect="1"/>
                    </pic:cNvPicPr>
                  </pic:nvPicPr>
                  <pic:blipFill>
                    <a:blip r:embed="rId16"/>
                    <a:srcRect t="6787" b="1237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3634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3"/>
        <w:numPr>
          <w:ilvl w:val="0"/>
          <w:numId w:val="2"/>
        </w:numPr>
        <w:spacing w:before="156" w:after="156" w:line="360" w:lineRule="auto"/>
        <w:ind w:firstLine="0" w:firstLineChars="0"/>
        <w:rPr>
          <w:rFonts w:hint="eastAsia" w:ascii="微软雅黑" w:hAnsi="微软雅黑" w:eastAsia="微软雅黑"/>
          <w:sz w:val="30"/>
          <w:szCs w:val="30"/>
          <w:highlight w:val="none"/>
        </w:rPr>
      </w:pPr>
      <w:r>
        <w:rPr>
          <w:rFonts w:hint="eastAsia" w:ascii="微软雅黑" w:hAnsi="微软雅黑" w:eastAsia="微软雅黑"/>
          <w:sz w:val="30"/>
          <w:szCs w:val="30"/>
          <w:highlight w:val="none"/>
          <w:lang w:val="en-US" w:eastAsia="zh-CN"/>
        </w:rPr>
        <w:t>信息填报</w:t>
      </w:r>
    </w:p>
    <w:p>
      <w:pPr>
        <w:numPr>
          <w:ilvl w:val="0"/>
          <w:numId w:val="3"/>
        </w:numPr>
        <w:ind w:left="0" w:leftChars="0" w:firstLine="0" w:firstLineChars="0"/>
        <w:outlineLvl w:val="2"/>
        <w:rPr>
          <w:rFonts w:hint="eastAsia" w:asciiTheme="minorEastAsia" w:hAnsiTheme="minorEastAsia" w:eastAsiaTheme="minorEastAsia" w:cstheme="minorEastAsia"/>
          <w:b/>
          <w:bCs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4"/>
          <w:szCs w:val="24"/>
          <w:highlight w:val="none"/>
          <w:lang w:val="en-US" w:eastAsia="zh-CN" w:bidi="ar-SA"/>
        </w:rPr>
        <w:t>申报子类选择</w:t>
      </w:r>
    </w:p>
    <w:p>
      <w:pPr>
        <w:numPr>
          <w:ilvl w:val="0"/>
          <w:numId w:val="0"/>
        </w:numPr>
        <w:ind w:firstLine="420" w:firstLineChars="0"/>
        <w:rPr>
          <w:rFonts w:hint="eastAsia" w:asciiTheme="minorEastAsia" w:hAnsiTheme="minorEastAsia" w:cstheme="minorEastAsia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highlight w:val="none"/>
          <w:lang w:val="en-US" w:eastAsia="zh-CN"/>
        </w:rPr>
        <w:t>点击“申报”进入苏州工业园区总部企业认定业务事项页面，根据企业实际情况选择“申报子类”；</w:t>
      </w:r>
    </w:p>
    <w:p>
      <w:pPr>
        <w:numPr>
          <w:ilvl w:val="0"/>
          <w:numId w:val="0"/>
        </w:numPr>
        <w:ind w:firstLine="420" w:firstLineChars="0"/>
        <w:rPr>
          <w:rFonts w:hint="default" w:asciiTheme="minorEastAsia" w:hAnsiTheme="minorEastAsia" w:cstheme="minorEastAsia"/>
          <w:b/>
          <w:bCs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highlight w:val="none"/>
          <w:lang w:val="en-US" w:eastAsia="zh-CN"/>
        </w:rPr>
        <w:t>申报子类包括：直接认定、评审认定-综合型总部、评审认定-功能性总部、评审认定-创新型总部。</w:t>
      </w:r>
    </w:p>
    <w:p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294890"/>
            <wp:effectExtent l="12700" t="12700" r="13970" b="1651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489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  <w:outlineLvl w:val="2"/>
        <w:rPr>
          <w:rFonts w:hint="eastAsia" w:asciiTheme="minorEastAsia" w:hAnsiTheme="minorEastAsia" w:eastAsiaTheme="minorEastAsia" w:cstheme="minorEastAsia"/>
          <w:b/>
          <w:bCs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4"/>
          <w:szCs w:val="24"/>
          <w:highlight w:val="none"/>
          <w:lang w:val="en-US" w:eastAsia="zh-CN" w:bidi="ar-SA"/>
        </w:rPr>
        <w:t>申报信息填写</w:t>
      </w:r>
    </w:p>
    <w:p>
      <w:pPr>
        <w:numPr>
          <w:ilvl w:val="0"/>
          <w:numId w:val="0"/>
        </w:numPr>
        <w:ind w:firstLine="420" w:firstLineChars="0"/>
        <w:rPr>
          <w:rFonts w:hint="eastAsia" w:asciiTheme="minorEastAsia" w:hAnsiTheme="minorEastAsia" w:cstheme="minorEastAsia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highlight w:val="none"/>
          <w:lang w:val="en-US" w:eastAsia="zh-CN"/>
        </w:rPr>
        <w:t>子类选定后点击“我要报名”进入具体填报页面。</w:t>
      </w:r>
    </w:p>
    <w:p>
      <w:pPr>
        <w:numPr>
          <w:ilvl w:val="0"/>
          <w:numId w:val="4"/>
        </w:numPr>
        <w:ind w:left="420" w:leftChars="0" w:firstLine="60" w:firstLineChars="0"/>
        <w:rPr>
          <w:rFonts w:hint="default" w:asciiTheme="minorEastAsia" w:hAnsiTheme="minorEastAsia" w:cstheme="minorEastAsia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highlight w:val="none"/>
          <w:lang w:val="en-US" w:eastAsia="zh-CN"/>
        </w:rPr>
        <w:t>直接认定类填报页面：</w:t>
      </w:r>
    </w:p>
    <w:p>
      <w:pPr>
        <w:numPr>
          <w:ilvl w:val="0"/>
          <w:numId w:val="0"/>
        </w:numPr>
        <w:ind w:firstLine="420" w:firstLineChars="0"/>
        <w:jc w:val="center"/>
        <w:rPr>
          <w:rFonts w:hint="default" w:asciiTheme="minorEastAsia" w:hAnsiTheme="minorEastAsia" w:cstheme="minorEastAsia"/>
          <w:highlight w:val="none"/>
          <w:lang w:val="en-US" w:eastAsia="zh-CN"/>
        </w:rPr>
      </w:pPr>
      <w:r>
        <w:rPr>
          <w:rFonts w:hint="default" w:asciiTheme="minorEastAsia" w:hAnsiTheme="minorEastAsia" w:cstheme="minorEastAsia"/>
          <w:highlight w:val="none"/>
          <w:lang w:val="en-US" w:eastAsia="zh-CN"/>
        </w:rPr>
        <w:drawing>
          <wp:inline distT="0" distB="0" distL="114300" distR="114300">
            <wp:extent cx="4627880" cy="8577580"/>
            <wp:effectExtent l="12700" t="12700" r="20320" b="20320"/>
            <wp:docPr id="24" name="图片 2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"/>
                    <pic:cNvPicPr>
                      <a:picLocks noChangeAspect="1"/>
                    </pic:cNvPicPr>
                  </pic:nvPicPr>
                  <pic:blipFill>
                    <a:blip r:embed="rId18"/>
                    <a:srcRect b="5428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857758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0" w:leftChars="0" w:firstLine="60" w:firstLineChars="0"/>
        <w:jc w:val="left"/>
        <w:rPr>
          <w:rFonts w:hint="default" w:asciiTheme="minorEastAsia" w:hAnsiTheme="minorEastAsia" w:cstheme="minorEastAsia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highlight w:val="none"/>
          <w:lang w:val="en-US" w:eastAsia="zh-CN"/>
        </w:rPr>
        <w:t>评审认定-综合型总部类填报页面：</w:t>
      </w:r>
    </w:p>
    <w:p>
      <w:pPr>
        <w:ind w:left="0" w:leftChars="0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80560" cy="8270875"/>
            <wp:effectExtent l="12700" t="12700" r="15240" b="22225"/>
            <wp:docPr id="20" name="图片 2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"/>
                    <pic:cNvPicPr>
                      <a:picLocks noChangeAspect="1"/>
                    </pic:cNvPicPr>
                  </pic:nvPicPr>
                  <pic:blipFill>
                    <a:blip r:embed="rId19"/>
                    <a:srcRect b="5211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8270875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0" w:leftChars="0" w:firstLine="6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评审认定-功能性总部类填报页面：</w:t>
      </w:r>
    </w:p>
    <w:p>
      <w:pPr>
        <w:ind w:left="0" w:leftChars="0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98975" cy="8255635"/>
            <wp:effectExtent l="12700" t="12700" r="22225" b="24765"/>
            <wp:docPr id="21" name="图片 2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"/>
                    <pic:cNvPicPr>
                      <a:picLocks noChangeAspect="1"/>
                    </pic:cNvPicPr>
                  </pic:nvPicPr>
                  <pic:blipFill>
                    <a:blip r:embed="rId20"/>
                    <a:srcRect b="5392"/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8255635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0" w:leftChars="0" w:firstLine="6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评审认定-创新型总部类填报页面：</w:t>
      </w:r>
    </w:p>
    <w:p>
      <w:pPr>
        <w:ind w:left="0" w:leftChars="0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7535" cy="8245475"/>
            <wp:effectExtent l="12700" t="12700" r="24765" b="22225"/>
            <wp:docPr id="22" name="图片 2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"/>
                    <pic:cNvPicPr>
                      <a:picLocks noChangeAspect="1"/>
                    </pic:cNvPicPr>
                  </pic:nvPicPr>
                  <pic:blipFill>
                    <a:blip r:embed="rId21"/>
                    <a:srcRect b="5226"/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8245475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spacing w:before="156" w:after="156" w:line="360" w:lineRule="auto"/>
        <w:ind w:firstLine="0" w:firstLineChars="0"/>
        <w:rPr>
          <w:rFonts w:hint="eastAsia" w:ascii="微软雅黑" w:hAnsi="微软雅黑" w:eastAsia="微软雅黑"/>
          <w:sz w:val="30"/>
          <w:szCs w:val="30"/>
          <w:highlight w:val="none"/>
        </w:rPr>
      </w:pPr>
      <w:r>
        <w:rPr>
          <w:rFonts w:hint="eastAsia" w:ascii="微软雅黑" w:hAnsi="微软雅黑" w:eastAsia="微软雅黑"/>
          <w:sz w:val="30"/>
          <w:szCs w:val="30"/>
          <w:highlight w:val="none"/>
          <w:lang w:val="en-US" w:eastAsia="zh-CN"/>
        </w:rPr>
        <w:t>申报记录查看</w:t>
      </w:r>
    </w:p>
    <w:p>
      <w:pPr>
        <w:rPr>
          <w:rFonts w:hint="eastAsia" w:asciiTheme="minorEastAsia" w:hAnsiTheme="minorEastAsia" w:cstheme="minorEastAsia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highlight w:val="none"/>
          <w:lang w:val="en-US" w:eastAsia="zh-CN"/>
        </w:rPr>
        <w:t>申报信息已填写后，企业可在苏州工业园区总部企业申报专题页面中，点击“申报记录”进入查看记录信息，包括申请状态、填报内容等。</w:t>
      </w:r>
    </w:p>
    <w:p>
      <w:pPr>
        <w:rPr>
          <w:rFonts w:hint="default" w:asciiTheme="minorEastAsia" w:hAnsiTheme="minorEastAsia" w:cstheme="minorEastAsia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highlight w:val="none"/>
          <w:lang w:val="en-US" w:eastAsia="zh-CN"/>
        </w:rPr>
        <w:t>企业需及时关注申请状态，若有被审核退回的，需修改后重新提交审核。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3515" cy="600710"/>
            <wp:effectExtent l="12700" t="12700" r="19685" b="2159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60071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</w:rPr>
      </w:pPr>
    </w:p>
    <w:p>
      <w:pPr>
        <w:pStyle w:val="2"/>
        <w:numPr>
          <w:ilvl w:val="0"/>
          <w:numId w:val="1"/>
        </w:numPr>
        <w:spacing w:before="156" w:after="156" w:line="360" w:lineRule="auto"/>
        <w:ind w:firstLine="0" w:firstLineChars="0"/>
        <w:rPr>
          <w:rFonts w:ascii="微软雅黑" w:hAnsi="微软雅黑" w:eastAsia="微软雅黑"/>
          <w:sz w:val="30"/>
          <w:szCs w:val="30"/>
          <w:highlight w:val="none"/>
        </w:rPr>
      </w:pPr>
      <w:r>
        <w:rPr>
          <w:rFonts w:hint="eastAsia" w:ascii="微软雅黑" w:hAnsi="微软雅黑" w:eastAsia="微软雅黑"/>
          <w:sz w:val="30"/>
          <w:szCs w:val="30"/>
          <w:highlight w:val="none"/>
        </w:rPr>
        <w:t>系统技术支持</w:t>
      </w:r>
    </w:p>
    <w:p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开发单位：苏州德融嘉信信用管理技术股份有限公司</w:t>
      </w:r>
    </w:p>
    <w:p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邮箱：</w:t>
      </w:r>
      <w:r>
        <w:rPr>
          <w:rFonts w:hint="eastAsia"/>
          <w:highlight w:val="none"/>
          <w:lang w:val="en-US" w:eastAsia="zh-CN"/>
        </w:rPr>
        <w:fldChar w:fldCharType="begin"/>
      </w:r>
      <w:r>
        <w:rPr>
          <w:rFonts w:hint="eastAsia"/>
          <w:highlight w:val="none"/>
          <w:lang w:val="en-US" w:eastAsia="zh-CN"/>
        </w:rPr>
        <w:instrText xml:space="preserve"> HYPERLINK "mailto:techsoft@sipac.gov.cn" </w:instrText>
      </w:r>
      <w:r>
        <w:rPr>
          <w:rFonts w:hint="eastAsia"/>
          <w:highlight w:val="none"/>
          <w:lang w:val="en-US" w:eastAsia="zh-CN"/>
        </w:rPr>
        <w:fldChar w:fldCharType="separate"/>
      </w:r>
      <w:r>
        <w:rPr>
          <w:rFonts w:hint="eastAsia"/>
          <w:highlight w:val="none"/>
          <w:lang w:val="en-US" w:eastAsia="zh-CN"/>
        </w:rPr>
        <w:t>techsoft@sipac.gov.cn</w:t>
      </w:r>
      <w:r>
        <w:rPr>
          <w:rFonts w:hint="eastAsia"/>
          <w:highlight w:val="none"/>
          <w:lang w:val="en-US" w:eastAsia="zh-CN"/>
        </w:rPr>
        <w:fldChar w:fldCharType="end"/>
      </w:r>
    </w:p>
    <w:p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电话：400-8696086</w:t>
      </w:r>
    </w:p>
    <w:p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技术支持QQ：2967266691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before="120" w:after="120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after="120"/>
      <w:ind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before="120" w:after="12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970FC7"/>
    <w:multiLevelType w:val="singleLevel"/>
    <w:tmpl w:val="85970FC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F9D0DE4"/>
    <w:multiLevelType w:val="singleLevel"/>
    <w:tmpl w:val="EF9D0DE4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1E92A2F4"/>
    <w:multiLevelType w:val="singleLevel"/>
    <w:tmpl w:val="1E92A2F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58812EEE"/>
    <w:multiLevelType w:val="singleLevel"/>
    <w:tmpl w:val="58812EEE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3C3"/>
    <w:rsid w:val="00015CBE"/>
    <w:rsid w:val="00063A54"/>
    <w:rsid w:val="000777B4"/>
    <w:rsid w:val="000C4A71"/>
    <w:rsid w:val="001545DC"/>
    <w:rsid w:val="00181CBF"/>
    <w:rsid w:val="00191408"/>
    <w:rsid w:val="00224CF6"/>
    <w:rsid w:val="00290D0C"/>
    <w:rsid w:val="002B5E49"/>
    <w:rsid w:val="002F4005"/>
    <w:rsid w:val="00325004"/>
    <w:rsid w:val="00333CE6"/>
    <w:rsid w:val="003E6E5F"/>
    <w:rsid w:val="004976BA"/>
    <w:rsid w:val="004B396A"/>
    <w:rsid w:val="00570BEB"/>
    <w:rsid w:val="005952F6"/>
    <w:rsid w:val="00630D66"/>
    <w:rsid w:val="00642C1B"/>
    <w:rsid w:val="00816AB6"/>
    <w:rsid w:val="00843E59"/>
    <w:rsid w:val="008650F6"/>
    <w:rsid w:val="008848ED"/>
    <w:rsid w:val="00901279"/>
    <w:rsid w:val="00965940"/>
    <w:rsid w:val="009F6976"/>
    <w:rsid w:val="00A8412A"/>
    <w:rsid w:val="00B61D40"/>
    <w:rsid w:val="00BF1BE6"/>
    <w:rsid w:val="00C63654"/>
    <w:rsid w:val="00C7736F"/>
    <w:rsid w:val="00CA4F9C"/>
    <w:rsid w:val="00CC627D"/>
    <w:rsid w:val="00D22A9A"/>
    <w:rsid w:val="00DA29C2"/>
    <w:rsid w:val="00DD13C3"/>
    <w:rsid w:val="00E92C19"/>
    <w:rsid w:val="00EE7DA3"/>
    <w:rsid w:val="00F061B2"/>
    <w:rsid w:val="00F63AF2"/>
    <w:rsid w:val="00FA4E4F"/>
    <w:rsid w:val="00FB5EDC"/>
    <w:rsid w:val="01AF5E07"/>
    <w:rsid w:val="01CD5B3D"/>
    <w:rsid w:val="025E3F66"/>
    <w:rsid w:val="0554165F"/>
    <w:rsid w:val="061933FF"/>
    <w:rsid w:val="089A13BB"/>
    <w:rsid w:val="0A8A6104"/>
    <w:rsid w:val="0CA3243C"/>
    <w:rsid w:val="0F5E466D"/>
    <w:rsid w:val="1028334A"/>
    <w:rsid w:val="10BC1015"/>
    <w:rsid w:val="14705EB0"/>
    <w:rsid w:val="1494277D"/>
    <w:rsid w:val="15830EB0"/>
    <w:rsid w:val="1609514D"/>
    <w:rsid w:val="172F211D"/>
    <w:rsid w:val="17842AFB"/>
    <w:rsid w:val="18211790"/>
    <w:rsid w:val="187127DC"/>
    <w:rsid w:val="187C1CF4"/>
    <w:rsid w:val="18D76671"/>
    <w:rsid w:val="19566C62"/>
    <w:rsid w:val="1C581E49"/>
    <w:rsid w:val="1E1B306E"/>
    <w:rsid w:val="1FE41856"/>
    <w:rsid w:val="225F7CDE"/>
    <w:rsid w:val="2359203D"/>
    <w:rsid w:val="24D43CD2"/>
    <w:rsid w:val="256C73E4"/>
    <w:rsid w:val="26315037"/>
    <w:rsid w:val="268463BE"/>
    <w:rsid w:val="27C25C27"/>
    <w:rsid w:val="28330D1C"/>
    <w:rsid w:val="28866F0E"/>
    <w:rsid w:val="28A4511E"/>
    <w:rsid w:val="298B6EAD"/>
    <w:rsid w:val="29C70DBD"/>
    <w:rsid w:val="29D26762"/>
    <w:rsid w:val="29DB6B49"/>
    <w:rsid w:val="29EE75B2"/>
    <w:rsid w:val="2B3A7930"/>
    <w:rsid w:val="2B656733"/>
    <w:rsid w:val="2B8A0C50"/>
    <w:rsid w:val="2D9307B6"/>
    <w:rsid w:val="2E1B4CCF"/>
    <w:rsid w:val="2F114FF1"/>
    <w:rsid w:val="313A07C7"/>
    <w:rsid w:val="314D6B50"/>
    <w:rsid w:val="315967EB"/>
    <w:rsid w:val="31EC2EDF"/>
    <w:rsid w:val="32B809A6"/>
    <w:rsid w:val="36402938"/>
    <w:rsid w:val="36D61A9C"/>
    <w:rsid w:val="377B0021"/>
    <w:rsid w:val="37DA7F4F"/>
    <w:rsid w:val="37E11217"/>
    <w:rsid w:val="386C7B22"/>
    <w:rsid w:val="39935D14"/>
    <w:rsid w:val="3A3E6876"/>
    <w:rsid w:val="3A551186"/>
    <w:rsid w:val="3BA82014"/>
    <w:rsid w:val="3CC46ADB"/>
    <w:rsid w:val="3D654563"/>
    <w:rsid w:val="3DAF587A"/>
    <w:rsid w:val="3E6C738F"/>
    <w:rsid w:val="400D01BE"/>
    <w:rsid w:val="406F42D7"/>
    <w:rsid w:val="40F65EAE"/>
    <w:rsid w:val="41860489"/>
    <w:rsid w:val="41AD08C4"/>
    <w:rsid w:val="45080D43"/>
    <w:rsid w:val="46874DFE"/>
    <w:rsid w:val="47D464C3"/>
    <w:rsid w:val="48E608BA"/>
    <w:rsid w:val="49330868"/>
    <w:rsid w:val="4A374CE4"/>
    <w:rsid w:val="4A5B48BE"/>
    <w:rsid w:val="4AB7536D"/>
    <w:rsid w:val="4AE456B0"/>
    <w:rsid w:val="4AFD69C7"/>
    <w:rsid w:val="4B7539D3"/>
    <w:rsid w:val="4E0B25F8"/>
    <w:rsid w:val="505D4FEB"/>
    <w:rsid w:val="50A338C0"/>
    <w:rsid w:val="518E7197"/>
    <w:rsid w:val="57637C5C"/>
    <w:rsid w:val="579F2037"/>
    <w:rsid w:val="57D31D38"/>
    <w:rsid w:val="585D506B"/>
    <w:rsid w:val="587E6C17"/>
    <w:rsid w:val="58D427AA"/>
    <w:rsid w:val="5E014A97"/>
    <w:rsid w:val="5EE11B24"/>
    <w:rsid w:val="5F5C75CE"/>
    <w:rsid w:val="60B865BB"/>
    <w:rsid w:val="611C60CA"/>
    <w:rsid w:val="61CA4EB4"/>
    <w:rsid w:val="63605E1C"/>
    <w:rsid w:val="64D56156"/>
    <w:rsid w:val="65206C73"/>
    <w:rsid w:val="66D92367"/>
    <w:rsid w:val="673E56FA"/>
    <w:rsid w:val="684F610D"/>
    <w:rsid w:val="68711FAF"/>
    <w:rsid w:val="69184506"/>
    <w:rsid w:val="69350893"/>
    <w:rsid w:val="69BC0DD9"/>
    <w:rsid w:val="6C73326B"/>
    <w:rsid w:val="6F5D771C"/>
    <w:rsid w:val="6FB6080B"/>
    <w:rsid w:val="72410792"/>
    <w:rsid w:val="72BC6DC5"/>
    <w:rsid w:val="73D669C1"/>
    <w:rsid w:val="741C24B4"/>
    <w:rsid w:val="7628590D"/>
    <w:rsid w:val="77B953A6"/>
    <w:rsid w:val="79E707C9"/>
    <w:rsid w:val="79FF4A76"/>
    <w:rsid w:val="7A517C84"/>
    <w:rsid w:val="7AF82B7F"/>
    <w:rsid w:val="7B391662"/>
    <w:rsid w:val="7BDF2782"/>
    <w:rsid w:val="7BE72383"/>
    <w:rsid w:val="7CD04B18"/>
    <w:rsid w:val="7F0C3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50" w:beforeLines="50" w:after="50" w:afterLines="50" w:line="36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after="330" w:afterLines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6"/>
    <w:semiHidden/>
    <w:unhideWhenUsed/>
    <w:qFormat/>
    <w:uiPriority w:val="99"/>
    <w:pPr>
      <w:spacing w:before="0" w:after="0" w:line="240" w:lineRule="auto"/>
    </w:pPr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字符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2">
    <w:name w:val="列出段落1"/>
    <w:basedOn w:val="1"/>
    <w:qFormat/>
    <w:uiPriority w:val="34"/>
    <w:pPr>
      <w:ind w:firstLine="420"/>
    </w:pPr>
  </w:style>
  <w:style w:type="paragraph" w:styleId="13">
    <w:name w:val="List Paragraph"/>
    <w:basedOn w:val="1"/>
    <w:qFormat/>
    <w:uiPriority w:val="34"/>
    <w:pPr>
      <w:ind w:firstLine="420"/>
    </w:pPr>
  </w:style>
  <w:style w:type="character" w:customStyle="1" w:styleId="14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5">
    <w:name w:val="页脚 字符"/>
    <w:basedOn w:val="9"/>
    <w:link w:val="6"/>
    <w:qFormat/>
    <w:uiPriority w:val="99"/>
    <w:rPr>
      <w:sz w:val="18"/>
      <w:szCs w:val="18"/>
    </w:rPr>
  </w:style>
  <w:style w:type="character" w:customStyle="1" w:styleId="16">
    <w:name w:val="批注框文本 字符"/>
    <w:basedOn w:val="9"/>
    <w:link w:val="5"/>
    <w:semiHidden/>
    <w:uiPriority w:val="99"/>
    <w:rPr>
      <w:kern w:val="2"/>
      <w:sz w:val="18"/>
      <w:szCs w:val="18"/>
    </w:rPr>
  </w:style>
  <w:style w:type="character" w:customStyle="1" w:styleId="17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241</Words>
  <Characters>1380</Characters>
  <Lines>11</Lines>
  <Paragraphs>3</Paragraphs>
  <TotalTime>2</TotalTime>
  <ScaleCrop>false</ScaleCrop>
  <LinksUpToDate>false</LinksUpToDate>
  <CharactersWithSpaces>1618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2018-01-18T08:47:00Z</dcterms:created>
  <dc:creator>hongyalan</dc:creator>
  <cp:lastModifiedBy>Rhea ju</cp:lastModifiedBy>
  <dcterms:modified xsi:type="dcterms:W3CDTF">2020-06-23T11:37:31Z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