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eastAsia="zh-CN"/>
        </w:rPr>
        <w:t>苏州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面向全球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“揭榜挂帅”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关键核心技术攻关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需求征集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方向</w:t>
      </w:r>
    </w:p>
    <w:tbl>
      <w:tblPr>
        <w:tblStyle w:val="5"/>
        <w:tblW w:w="73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20"/>
        <w:gridCol w:w="4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0"/>
                <w:szCs w:val="30"/>
                <w:highlight w:val="none"/>
                <w:lang w:bidi="ar"/>
              </w:rPr>
              <w:t>产业集群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0"/>
                <w:szCs w:val="30"/>
                <w:highlight w:val="none"/>
                <w:lang w:bidi="ar"/>
              </w:rPr>
              <w:t>产业链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光伏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动力电池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新一代信息技术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新型显示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消费电子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半导体与集成电路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光子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生物医药及大健康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创新药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医疗器械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高端装备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工程机械及节能环保装备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工业母机及集成化装备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航空航天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新兴数字产业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在线新经济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算力经济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人工智能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工业互联网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新能源汽车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新能源整车、汽车电子及零部件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智能车联网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信息技术应用创新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化工新材料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先进金属材料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纳米新材料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1A1A1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A1A1A"/>
                <w:kern w:val="0"/>
                <w:sz w:val="24"/>
                <w:lang w:bidi="ar"/>
              </w:rPr>
              <w:t>高端纺织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1A1A1A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服装家纺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kern w:val="0"/>
                <w:sz w:val="24"/>
                <w:lang w:bidi="ar"/>
              </w:rPr>
              <w:t>轻工业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绿色家电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仿宋_GB2312"/>
                <w:color w:val="1A1A1A"/>
                <w:kern w:val="0"/>
                <w:sz w:val="24"/>
                <w:lang w:val="en-US" w:eastAsia="zh-CN" w:bidi="ar"/>
              </w:rPr>
              <w:t>未来产业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光子芯片与光器件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after="0" w:line="500" w:lineRule="exact"/>
              <w:jc w:val="center"/>
              <w:rPr>
                <w:rFonts w:hint="default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细胞和基因诊疗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13131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313131"/>
                <w:sz w:val="24"/>
                <w:lang w:val="en-US" w:eastAsia="zh-CN"/>
              </w:rPr>
              <w:t>其他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  <w:lang w:eastAsia="zh-CN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YjcwNDNlMTVmMGE4ZjBmZTZlZDA2Y2VhMDRjNDUifQ=="/>
  </w:docVars>
  <w:rsids>
    <w:rsidRoot w:val="252E7D18"/>
    <w:rsid w:val="252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2024-03-25T01:03:00Z</dcterms:created>
  <dc:creator>Haoqy</dc:creator>
  <cp:lastModifiedBy>Haoqy</cp:lastModifiedBy>
  <dcterms:modified xsi:type="dcterms:W3CDTF">2024-03-25T01:04:00Z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C66562C8DA9E4708B5499454EB0BC15C_11</vt:lpwstr>
  </property>
</Properties>
</file>