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2F" w:rsidRPr="00FB032F" w:rsidRDefault="00FB032F" w:rsidP="00FB032F">
      <w:pPr>
        <w:pStyle w:val="2"/>
        <w:jc w:val="center"/>
        <w:rPr>
          <w:rFonts w:hint="eastAsia"/>
        </w:rPr>
      </w:pPr>
      <w:r w:rsidRPr="00FB032F">
        <w:rPr>
          <w:rFonts w:hint="eastAsia"/>
        </w:rPr>
        <w:t>财政部</w:t>
      </w:r>
      <w:r w:rsidRPr="00FB032F">
        <w:rPr>
          <w:rFonts w:hint="eastAsia"/>
        </w:rPr>
        <w:t xml:space="preserve"> </w:t>
      </w:r>
      <w:r w:rsidRPr="00FB032F">
        <w:rPr>
          <w:rFonts w:hint="eastAsia"/>
        </w:rPr>
        <w:t>商务部</w:t>
      </w:r>
      <w:r w:rsidRPr="00FB032F">
        <w:rPr>
          <w:rFonts w:hint="eastAsia"/>
        </w:rPr>
        <w:t xml:space="preserve"> </w:t>
      </w:r>
      <w:r w:rsidRPr="00FB032F">
        <w:rPr>
          <w:rFonts w:hint="eastAsia"/>
        </w:rPr>
        <w:t>国家税务总局</w:t>
      </w:r>
    </w:p>
    <w:p w:rsidR="00FB032F" w:rsidRPr="00FB032F" w:rsidRDefault="00FB032F" w:rsidP="00FB032F">
      <w:pPr>
        <w:pStyle w:val="2"/>
        <w:jc w:val="center"/>
        <w:rPr>
          <w:rFonts w:hint="eastAsia"/>
        </w:rPr>
      </w:pPr>
      <w:r w:rsidRPr="00FB032F">
        <w:rPr>
          <w:rFonts w:hint="eastAsia"/>
        </w:rPr>
        <w:t>关于继续执行研发机构采购设备增值税政策的通知</w:t>
      </w:r>
    </w:p>
    <w:p w:rsidR="005569B3" w:rsidRPr="00FB032F" w:rsidRDefault="00FB032F" w:rsidP="00FB032F">
      <w:pPr>
        <w:jc w:val="center"/>
        <w:rPr>
          <w:rFonts w:ascii="仿宋_GB2312" w:eastAsia="仿宋_GB2312" w:hint="eastAsia"/>
          <w:sz w:val="32"/>
          <w:szCs w:val="32"/>
        </w:rPr>
      </w:pPr>
      <w:r w:rsidRPr="00FB032F">
        <w:rPr>
          <w:rFonts w:ascii="仿宋_GB2312" w:eastAsia="仿宋_GB2312" w:hint="eastAsia"/>
          <w:sz w:val="32"/>
          <w:szCs w:val="32"/>
        </w:rPr>
        <w:t>财税〔2016〕121号</w:t>
      </w:r>
      <w:bookmarkStart w:id="0" w:name="_GoBack"/>
      <w:bookmarkEnd w:id="0"/>
    </w:p>
    <w:p w:rsidR="00FB032F" w:rsidRPr="00FB032F" w:rsidRDefault="00FB032F" w:rsidP="00FB032F">
      <w:pPr>
        <w:rPr>
          <w:rFonts w:ascii="仿宋_GB2312" w:eastAsia="仿宋_GB2312" w:hint="eastAsia"/>
          <w:sz w:val="32"/>
          <w:szCs w:val="32"/>
        </w:rPr>
      </w:pP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各省、自治区、直辖市、计划单列市财政厅（局）、商务主管部门、国家税务局，新疆生产建设兵团财务局：</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为了鼓励科学研究和技术开发，促进科技进步，经国务院批准，继续对内资研发机构和外资研发中心采购国产设备全额退还增值税。现将有关事项明确如下：</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一、适用采购国产设备全额退还增值税政策的内资研发机构和外资研发中心包括：</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（一）科技部会同财政部、海关总署和国家税务总局核定的科技体制改革过程中转制为企业和进入企业的主要从事科学研究和技术开发工作的机构；</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（二）国家发展改革委会同财政部、海关总署和国家税务总局核定的国家工程研究中心；</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（三）国家发展改革委会同财政部、海关总署、国家税务总局和科技部核定的企业技术中心；</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（四）科技部会同财政部、海关总署和国家税务总局核定的国家重点实验室和国家工程技术研究中心；</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（五）国务院部委、直属机构和省、自治区、直辖市、</w:t>
      </w:r>
      <w:r w:rsidRPr="00FB032F">
        <w:rPr>
          <w:rFonts w:ascii="仿宋_GB2312" w:eastAsia="仿宋_GB2312" w:hint="eastAsia"/>
          <w:sz w:val="32"/>
          <w:szCs w:val="32"/>
        </w:rPr>
        <w:lastRenderedPageBreak/>
        <w:t>计划单列市所属专门从事科学研究工作的各类科研院所；</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（六）国家承认学历的实施专科及以上高等学历教育的高等学校；</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（七）符合本通知第二条规定的外资研发中心；</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（八）财政部会同国务院有关部门核定的其他科学研究机构、技术开发机构和学校。</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二、外资研发中心，根据其设立时间，应分别满足下列条件：</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（一）2009年9月30日及其之前设立的外资研发中心，应同时满足下列条件：</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1.研发费用标准：（1）对外资研发中心，作为独立法人的，其投资总额不低于500万美元；作为公司内设部门或分公司的非独立法人的，其</w:t>
      </w:r>
      <w:proofErr w:type="gramStart"/>
      <w:r w:rsidRPr="00FB032F">
        <w:rPr>
          <w:rFonts w:ascii="仿宋_GB2312" w:eastAsia="仿宋_GB2312" w:hint="eastAsia"/>
          <w:sz w:val="32"/>
          <w:szCs w:val="32"/>
        </w:rPr>
        <w:t>研发总</w:t>
      </w:r>
      <w:proofErr w:type="gramEnd"/>
      <w:r w:rsidRPr="00FB032F">
        <w:rPr>
          <w:rFonts w:ascii="仿宋_GB2312" w:eastAsia="仿宋_GB2312" w:hint="eastAsia"/>
          <w:sz w:val="32"/>
          <w:szCs w:val="32"/>
        </w:rPr>
        <w:t>投入不低于500万美元；（2）企业研发经费年支出额不低于1000万元。</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2.专职研究与试验发展人员不低于90人。</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3.设立以来累计购置的设备原值不低于1000万元。</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（二）2009年10月1日及其之后设立的外资研发中心，应同时满足下列条件：</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1.研发费用标准：作为独立法人的，其投资总额不低于800万美元；作为公司内设部门或分公司的非独立法人的，其</w:t>
      </w:r>
      <w:proofErr w:type="gramStart"/>
      <w:r w:rsidRPr="00FB032F">
        <w:rPr>
          <w:rFonts w:ascii="仿宋_GB2312" w:eastAsia="仿宋_GB2312" w:hint="eastAsia"/>
          <w:sz w:val="32"/>
          <w:szCs w:val="32"/>
        </w:rPr>
        <w:t>研发总</w:t>
      </w:r>
      <w:proofErr w:type="gramEnd"/>
      <w:r w:rsidRPr="00FB032F">
        <w:rPr>
          <w:rFonts w:ascii="仿宋_GB2312" w:eastAsia="仿宋_GB2312" w:hint="eastAsia"/>
          <w:sz w:val="32"/>
          <w:szCs w:val="32"/>
        </w:rPr>
        <w:t>投入不低于800万美元。</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2.专职研究与试验发展人员不低于150人。</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lastRenderedPageBreak/>
        <w:t xml:space="preserve">　　3.设立以来累计购置的设备原值不低于2000万元。</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外资研发中心须经商务主管部门会同有关部门按照上述条件进行资格审核认定。具体审核认定办法见附件1。在2015年12月31日（含）以前，已取得退税资格未满2年暂不需要进行资格复审的、按规定已复审合格的外资研发中心，在2015年12月31日享受退税未满2年的，可继续享受至2年期满。</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经认定的外资研发中心，因自身条件变化不再符合退税资格的认定条件或发生涉税违法行为的，不得享受退税政策。</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三、具体退税管理办法由国家税务总局会同财政部另行制定。</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四、本通知的有关定义。</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（一）本通知所述“投资总额”，是指外商投资企业批准证书或设立、变更备案回执所载明的金额。</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（二）本通知所述“研发总投入”，是指外商投资企业专门为设立和建设本研发中心而投入的资产，包括即将投入并签订购置合同的资产（应提交已采购资产清单和即将采购资产的合同清单）。</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三）本通知所述“研发经费年支出额”，是指近两个会计年度研发经费年均支出额；不足两个完整会计年度的，可按外资研发中心设立以来任意连续12个月的实际研发经费支出额计算；现金与实物资产投入应不低于60%。</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lastRenderedPageBreak/>
        <w:t xml:space="preserve">　　（四）本通知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五）本通知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设备应属于本通知《科技开发、科学研究和教学设备清单》所列设备（见附件2）。对执行中国产设备范围存在异议的，由主管税务机关逐级上报国家税务总局商财政部核定。</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五、本通知规定的税收政策执行期限为2016年1月1日至2018年12月31日，具体从内资研发机构和外资研发中心取得退税资格的次月1日起执行。《财政部 商务部 海关总署 国家税务总局关于继续执行研发机构采购设备税收政策的通知》（财税〔2011〕88号）同时废止。</w:t>
      </w:r>
    </w:p>
    <w:p w:rsidR="00FB032F" w:rsidRDefault="00FB032F" w:rsidP="00FB032F">
      <w:pPr>
        <w:rPr>
          <w:rFonts w:ascii="仿宋_GB2312" w:eastAsia="仿宋_GB2312" w:hint="eastAsia"/>
          <w:sz w:val="32"/>
          <w:szCs w:val="32"/>
        </w:rPr>
      </w:pPr>
      <w:r w:rsidRPr="00FB032F">
        <w:rPr>
          <w:rFonts w:ascii="仿宋_GB2312" w:eastAsia="仿宋_GB2312" w:hint="eastAsia"/>
          <w:sz w:val="32"/>
          <w:szCs w:val="32"/>
        </w:rPr>
        <w:t xml:space="preserve">　　</w:t>
      </w:r>
    </w:p>
    <w:p w:rsidR="00FB032F" w:rsidRPr="00FB032F" w:rsidRDefault="00FB032F" w:rsidP="00FB032F">
      <w:pPr>
        <w:rPr>
          <w:rFonts w:ascii="仿宋_GB2312" w:eastAsia="仿宋_GB2312" w:hint="eastAsia"/>
          <w:sz w:val="32"/>
          <w:szCs w:val="32"/>
        </w:rPr>
      </w:pPr>
      <w:r w:rsidRPr="00FB032F">
        <w:rPr>
          <w:rFonts w:ascii="仿宋_GB2312" w:eastAsia="仿宋_GB2312" w:hint="eastAsia"/>
          <w:sz w:val="32"/>
          <w:szCs w:val="32"/>
        </w:rPr>
        <w:t>附件：1.</w:t>
      </w:r>
      <w:r w:rsidRPr="00FB032F">
        <w:rPr>
          <w:rFonts w:ascii="仿宋_GB2312" w:eastAsia="仿宋_GB2312"/>
          <w:sz w:val="32"/>
          <w:szCs w:val="32"/>
        </w:rPr>
        <w:t>外资研发中心采购国产设备退税资格审核认定办法</w:t>
      </w:r>
    </w:p>
    <w:p w:rsidR="00FB032F" w:rsidRPr="00FB032F" w:rsidRDefault="00FB032F" w:rsidP="00FB032F">
      <w:pPr>
        <w:rPr>
          <w:rFonts w:ascii="仿宋_GB2312" w:eastAsia="仿宋_GB2312" w:hint="eastAsia"/>
          <w:sz w:val="32"/>
          <w:szCs w:val="32"/>
        </w:rPr>
      </w:pPr>
      <w:r>
        <w:rPr>
          <w:rFonts w:ascii="仿宋_GB2312" w:eastAsia="仿宋_GB2312" w:hint="eastAsia"/>
          <w:sz w:val="32"/>
          <w:szCs w:val="32"/>
        </w:rPr>
        <w:lastRenderedPageBreak/>
        <w:t xml:space="preserve">　　　</w:t>
      </w:r>
      <w:r w:rsidRPr="00FB032F">
        <w:rPr>
          <w:rFonts w:ascii="仿宋_GB2312" w:eastAsia="仿宋_GB2312" w:hint="eastAsia"/>
          <w:sz w:val="32"/>
          <w:szCs w:val="32"/>
        </w:rPr>
        <w:t>2.</w:t>
      </w:r>
      <w:r w:rsidRPr="00FB032F">
        <w:rPr>
          <w:rFonts w:ascii="仿宋_GB2312" w:eastAsia="仿宋_GB2312"/>
          <w:sz w:val="32"/>
          <w:szCs w:val="32"/>
        </w:rPr>
        <w:t>科技开发、科学研究和教学设备清单</w:t>
      </w:r>
    </w:p>
    <w:p w:rsidR="00FB032F" w:rsidRDefault="00FB032F" w:rsidP="00FB032F">
      <w:pPr>
        <w:rPr>
          <w:rFonts w:ascii="仿宋_GB2312" w:eastAsia="仿宋_GB2312" w:hint="eastAsia"/>
          <w:sz w:val="32"/>
          <w:szCs w:val="32"/>
        </w:rPr>
      </w:pPr>
    </w:p>
    <w:p w:rsidR="00FB032F" w:rsidRPr="00FB032F" w:rsidRDefault="00FB032F" w:rsidP="00FB032F">
      <w:pPr>
        <w:jc w:val="right"/>
        <w:rPr>
          <w:rFonts w:ascii="仿宋_GB2312" w:eastAsia="仿宋_GB2312" w:hint="eastAsia"/>
          <w:sz w:val="32"/>
          <w:szCs w:val="32"/>
        </w:rPr>
      </w:pPr>
      <w:r w:rsidRPr="00FB032F">
        <w:rPr>
          <w:rFonts w:ascii="仿宋_GB2312" w:eastAsia="仿宋_GB2312" w:hint="eastAsia"/>
          <w:sz w:val="32"/>
          <w:szCs w:val="32"/>
        </w:rPr>
        <w:t>财政部</w:t>
      </w:r>
      <w:r w:rsidRPr="00FB032F">
        <w:rPr>
          <w:rFonts w:ascii="仿宋_GB2312" w:eastAsia="仿宋_GB2312" w:hint="eastAsia"/>
          <w:sz w:val="32"/>
          <w:szCs w:val="32"/>
        </w:rPr>
        <w:t>  </w:t>
      </w:r>
      <w:r w:rsidRPr="00FB032F">
        <w:rPr>
          <w:rFonts w:ascii="仿宋_GB2312" w:eastAsia="仿宋_GB2312" w:hint="eastAsia"/>
          <w:sz w:val="32"/>
          <w:szCs w:val="32"/>
        </w:rPr>
        <w:t xml:space="preserve"> 商务部</w:t>
      </w:r>
      <w:r w:rsidRPr="00FB032F">
        <w:rPr>
          <w:rFonts w:ascii="仿宋_GB2312" w:eastAsia="仿宋_GB2312" w:hint="eastAsia"/>
          <w:sz w:val="32"/>
          <w:szCs w:val="32"/>
        </w:rPr>
        <w:t>  </w:t>
      </w:r>
      <w:r w:rsidRPr="00FB032F">
        <w:rPr>
          <w:rFonts w:ascii="仿宋_GB2312" w:eastAsia="仿宋_GB2312" w:hint="eastAsia"/>
          <w:sz w:val="32"/>
          <w:szCs w:val="32"/>
        </w:rPr>
        <w:t xml:space="preserve"> 国家税务总局</w:t>
      </w:r>
    </w:p>
    <w:p w:rsidR="00FB032F" w:rsidRPr="00FB032F" w:rsidRDefault="00FB032F" w:rsidP="00FB032F">
      <w:pPr>
        <w:ind w:right="640"/>
        <w:jc w:val="right"/>
        <w:rPr>
          <w:rFonts w:ascii="仿宋_GB2312" w:eastAsia="仿宋_GB2312" w:hint="eastAsia"/>
          <w:sz w:val="32"/>
          <w:szCs w:val="32"/>
        </w:rPr>
      </w:pPr>
      <w:r w:rsidRPr="00FB032F">
        <w:rPr>
          <w:rFonts w:ascii="仿宋_GB2312" w:eastAsia="仿宋_GB2312" w:hint="eastAsia"/>
          <w:sz w:val="32"/>
          <w:szCs w:val="32"/>
        </w:rPr>
        <w:t>2016年11月16日</w:t>
      </w: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autoSpaceDE w:val="0"/>
        <w:autoSpaceDN w:val="0"/>
        <w:adjustRightInd w:val="0"/>
        <w:snapToGrid w:val="0"/>
        <w:spacing w:line="588" w:lineRule="atLeast"/>
        <w:rPr>
          <w:rFonts w:ascii="宋体" w:eastAsia="仿宋_GB2312" w:hAnsi="宋体" w:cs="Times New Roman"/>
          <w:spacing w:val="6"/>
          <w:sz w:val="32"/>
          <w:szCs w:val="32"/>
        </w:rPr>
      </w:pPr>
      <w:r>
        <w:rPr>
          <w:rFonts w:ascii="宋体" w:eastAsia="仿宋_GB2312" w:hAnsi="宋体" w:cs="Times New Roman" w:hint="eastAsia"/>
          <w:spacing w:val="6"/>
          <w:sz w:val="32"/>
          <w:szCs w:val="32"/>
        </w:rPr>
        <w:lastRenderedPageBreak/>
        <w:t>附件</w:t>
      </w:r>
      <w:r>
        <w:rPr>
          <w:rFonts w:ascii="宋体" w:eastAsia="仿宋_GB2312" w:hAnsi="宋体" w:cs="Times New Roman" w:hint="eastAsia"/>
          <w:spacing w:val="6"/>
          <w:sz w:val="32"/>
          <w:szCs w:val="32"/>
        </w:rPr>
        <w:t>1</w:t>
      </w:r>
      <w:r>
        <w:rPr>
          <w:rFonts w:ascii="宋体" w:eastAsia="仿宋_GB2312" w:hAnsi="宋体" w:cs="Times New Roman" w:hint="eastAsia"/>
          <w:spacing w:val="6"/>
          <w:sz w:val="32"/>
          <w:szCs w:val="32"/>
        </w:rPr>
        <w:t>：</w:t>
      </w:r>
    </w:p>
    <w:p w:rsidR="00FB032F" w:rsidRDefault="00FB032F" w:rsidP="00FB032F">
      <w:pPr>
        <w:autoSpaceDE w:val="0"/>
        <w:autoSpaceDN w:val="0"/>
        <w:adjustRightInd w:val="0"/>
        <w:snapToGrid w:val="0"/>
        <w:spacing w:line="588" w:lineRule="atLeast"/>
        <w:rPr>
          <w:rFonts w:ascii="宋体" w:eastAsia="仿宋_GB2312" w:hAnsi="宋体" w:cs="Times New Roman" w:hint="eastAsia"/>
          <w:spacing w:val="6"/>
          <w:sz w:val="32"/>
          <w:szCs w:val="32"/>
        </w:rPr>
      </w:pPr>
    </w:p>
    <w:p w:rsidR="00FB032F" w:rsidRDefault="00FB032F" w:rsidP="00FB032F">
      <w:pPr>
        <w:autoSpaceDE w:val="0"/>
        <w:autoSpaceDN w:val="0"/>
        <w:adjustRightInd w:val="0"/>
        <w:snapToGrid w:val="0"/>
        <w:spacing w:line="588" w:lineRule="atLeast"/>
        <w:jc w:val="center"/>
        <w:rPr>
          <w:rFonts w:ascii="宋体" w:eastAsia="仿宋_GB2312" w:hAnsi="宋体" w:cs="Times New Roman" w:hint="eastAsia"/>
          <w:b/>
          <w:spacing w:val="6"/>
          <w:sz w:val="32"/>
          <w:szCs w:val="32"/>
        </w:rPr>
      </w:pPr>
      <w:r>
        <w:rPr>
          <w:rFonts w:ascii="宋体" w:eastAsia="仿宋_GB2312" w:hAnsi="宋体" w:cs="Times New Roman" w:hint="eastAsia"/>
          <w:b/>
          <w:spacing w:val="6"/>
          <w:sz w:val="32"/>
          <w:szCs w:val="32"/>
        </w:rPr>
        <w:t>外资研发中心采购国产设备退税资格审核认定办法</w:t>
      </w:r>
    </w:p>
    <w:p w:rsidR="00FB032F" w:rsidRDefault="00FB032F" w:rsidP="00FB032F">
      <w:pPr>
        <w:autoSpaceDE w:val="0"/>
        <w:autoSpaceDN w:val="0"/>
        <w:adjustRightInd w:val="0"/>
        <w:snapToGrid w:val="0"/>
        <w:spacing w:line="588" w:lineRule="atLeast"/>
        <w:rPr>
          <w:rFonts w:ascii="宋体" w:eastAsia="仿宋_GB2312" w:hAnsi="宋体" w:cs="Times New Roman" w:hint="eastAsia"/>
          <w:spacing w:val="6"/>
          <w:sz w:val="32"/>
          <w:szCs w:val="32"/>
        </w:rPr>
      </w:pP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为落实好外资研发中心（包括独立法人和非独立法人研发中心，以下简称研发中心）采购国产设备相关税收政策，特制定以下资格审核认定办法：</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一、资格条件的审核</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一）各省、自治区、直辖市、计划单列市及新疆生产建设兵团商务主管部门会同同级财政、国税部门（以下简称审核部门），根据本地情况，制定审核流程和具体办法。研发中心应按本通知有关要求向其所在地商务主管部门提交申请材料。</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（二）商务主管部门牵头召开审核部门联席会议，对研发中心上报的申请材料进行审核，按照本通知正文第二条所列条件和本审核认定办法要求，确定符合退税资格条件的研发中心名单。</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三）经审核，对符合退税资格条件的研发中心，由审核部门以公告形式联合发布，并将名单抄送商务部（外资司）、财政部（税政司）、国家税务总局（货物和劳务税司）备案。对不符合有关规定的，由商务主管部门根据联席会议的决定出具书面审核意见，并说明理由。上述公告或审核意见应在审核部门受理申请之日起</w:t>
      </w:r>
      <w:r>
        <w:rPr>
          <w:rFonts w:ascii="宋体" w:eastAsia="仿宋_GB2312" w:hAnsi="宋体" w:cs="Times New Roman" w:hint="eastAsia"/>
          <w:spacing w:val="6"/>
          <w:sz w:val="32"/>
          <w:szCs w:val="32"/>
        </w:rPr>
        <w:t>45</w:t>
      </w:r>
      <w:r>
        <w:rPr>
          <w:rFonts w:ascii="宋体" w:eastAsia="仿宋_GB2312" w:hAnsi="宋体" w:cs="Times New Roman" w:hint="eastAsia"/>
          <w:spacing w:val="6"/>
          <w:sz w:val="32"/>
          <w:szCs w:val="32"/>
        </w:rPr>
        <w:t>个工作日之内</w:t>
      </w:r>
      <w:proofErr w:type="gramStart"/>
      <w:r>
        <w:rPr>
          <w:rFonts w:ascii="宋体" w:eastAsia="仿宋_GB2312" w:hAnsi="宋体" w:cs="Times New Roman" w:hint="eastAsia"/>
          <w:spacing w:val="6"/>
          <w:sz w:val="32"/>
          <w:szCs w:val="32"/>
        </w:rPr>
        <w:lastRenderedPageBreak/>
        <w:t>作出</w:t>
      </w:r>
      <w:proofErr w:type="gramEnd"/>
      <w:r>
        <w:rPr>
          <w:rFonts w:ascii="宋体" w:eastAsia="仿宋_GB2312" w:hAnsi="宋体" w:cs="Times New Roman" w:hint="eastAsia"/>
          <w:spacing w:val="6"/>
          <w:sz w:val="32"/>
          <w:szCs w:val="32"/>
        </w:rPr>
        <w:t>。</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（四）审核部门每两年对已获得退税资格的研发中心进行资格复审。对于不再符合条件的研发中心取消其享受退税优惠政策的资格。</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二、需报送的材料</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研发中心申请采购国产设备退税资格，应提交以下材料：</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（一）研发中心采购国产设备退税资格申请书和审核表；</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二）研发中心为独立法人的，应提交外商投资企业批准证书或设立、变更备案回执及营业执照复印件；研发中心为非独立法人的，应提交其所在外商投资企业的外商投资企业批准证书或设立、变更备案回执及营业执照复印件；</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（三）验资报告及上一年度审计报告复印件；</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（四）研发费用支出明细、设备购置支出明细和清单以及通知规定应提交的材料；</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（五）专职研究与试验发展人员名册（包括姓名、工作岗位、劳动合同期限、联系方式）。</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（六）审核部门要求提交的其他材料。</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三、相关工作的管理</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（一）在公告发布后，列入公告名单的研发中心，可按有关规定直接向其所在地国税部门申请办理采购国产设</w:t>
      </w:r>
      <w:r>
        <w:rPr>
          <w:rFonts w:ascii="宋体" w:eastAsia="仿宋_GB2312" w:hAnsi="宋体" w:cs="Times New Roman" w:hint="eastAsia"/>
          <w:spacing w:val="6"/>
          <w:sz w:val="32"/>
          <w:szCs w:val="32"/>
        </w:rPr>
        <w:lastRenderedPageBreak/>
        <w:t>备退税手续。</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（二）审核部门在共同审核认定研发中心资格的过程中，可到研发中心查阅有关资料，了解情况，核实其报送的申请材料的真实性。同时应注意加强对研发中心的政策指导和服务，提高工作效率。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（三）省级商务主管部门应将《外资研发中心采购设备免、退税资格审核表》有关信息及时录入外商投资综合管理信息系统研发中心选项。</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附：外资研发中心采购设备免、退税资格审核表</w:t>
      </w:r>
    </w:p>
    <w:p w:rsidR="00FB032F" w:rsidRDefault="00FB032F" w:rsidP="00FB032F">
      <w:pPr>
        <w:autoSpaceDE w:val="0"/>
        <w:autoSpaceDN w:val="0"/>
        <w:adjustRightInd w:val="0"/>
        <w:snapToGrid w:val="0"/>
        <w:spacing w:line="588" w:lineRule="atLeast"/>
        <w:rPr>
          <w:rFonts w:ascii="宋体" w:eastAsia="仿宋_GB2312" w:hAnsi="宋体" w:cs="Times New Roman" w:hint="eastAsia"/>
          <w:spacing w:val="6"/>
          <w:sz w:val="32"/>
          <w:szCs w:val="32"/>
        </w:rPr>
      </w:pPr>
      <w:r>
        <w:rPr>
          <w:rFonts w:ascii="宋体" w:eastAsia="仿宋_GB2312" w:hAnsi="宋体" w:cs="Times New Roman" w:hint="eastAsia"/>
          <w:spacing w:val="6"/>
          <w:kern w:val="0"/>
          <w:sz w:val="32"/>
          <w:szCs w:val="32"/>
        </w:rPr>
        <w:br w:type="page"/>
      </w:r>
      <w:r>
        <w:rPr>
          <w:rFonts w:ascii="宋体" w:eastAsia="仿宋_GB2312" w:hAnsi="宋体" w:cs="Times New Roman" w:hint="eastAsia"/>
          <w:spacing w:val="6"/>
          <w:sz w:val="32"/>
          <w:szCs w:val="32"/>
        </w:rPr>
        <w:lastRenderedPageBreak/>
        <w:t>附</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p>
    <w:p w:rsidR="00FB032F" w:rsidRDefault="00FB032F" w:rsidP="00FB032F">
      <w:pPr>
        <w:autoSpaceDE w:val="0"/>
        <w:autoSpaceDN w:val="0"/>
        <w:adjustRightInd w:val="0"/>
        <w:snapToGrid w:val="0"/>
        <w:spacing w:line="588" w:lineRule="atLeast"/>
        <w:jc w:val="center"/>
        <w:rPr>
          <w:rFonts w:ascii="宋体" w:eastAsia="仿宋_GB2312" w:hAnsi="宋体" w:cs="Times New Roman" w:hint="eastAsia"/>
          <w:b/>
          <w:spacing w:val="6"/>
          <w:sz w:val="32"/>
          <w:szCs w:val="32"/>
        </w:rPr>
      </w:pPr>
      <w:r>
        <w:rPr>
          <w:rFonts w:ascii="宋体" w:eastAsia="仿宋_GB2312" w:hAnsi="宋体" w:cs="Times New Roman" w:hint="eastAsia"/>
          <w:b/>
          <w:spacing w:val="6"/>
          <w:sz w:val="32"/>
          <w:szCs w:val="32"/>
        </w:rPr>
        <w:t>外资研发中心采购设备免、退税资格审核表</w:t>
      </w:r>
    </w:p>
    <w:p w:rsidR="00FB032F" w:rsidRDefault="00FB032F" w:rsidP="00FB032F">
      <w:pPr>
        <w:autoSpaceDE w:val="0"/>
        <w:autoSpaceDN w:val="0"/>
        <w:adjustRightInd w:val="0"/>
        <w:snapToGrid w:val="0"/>
        <w:spacing w:line="588" w:lineRule="atLeast"/>
        <w:jc w:val="center"/>
        <w:rPr>
          <w:rFonts w:ascii="宋体" w:eastAsia="仿宋_GB2312" w:hAnsi="宋体" w:cs="Times New Roman" w:hint="eastAsia"/>
          <w:b/>
          <w:spacing w:val="6"/>
          <w:sz w:val="32"/>
          <w:szCs w:val="32"/>
        </w:rPr>
      </w:pPr>
    </w:p>
    <w:p w:rsidR="00FB032F" w:rsidRDefault="00FB032F" w:rsidP="00FB032F">
      <w:pPr>
        <w:wordWrap w:val="0"/>
        <w:autoSpaceDE w:val="0"/>
        <w:autoSpaceDN w:val="0"/>
        <w:adjustRightInd w:val="0"/>
        <w:snapToGrid w:val="0"/>
        <w:spacing w:line="588" w:lineRule="atLeast"/>
        <w:ind w:rightChars="-230" w:right="-483"/>
        <w:jc w:val="right"/>
        <w:rPr>
          <w:rFonts w:ascii="宋体" w:eastAsia="仿宋_GB2312" w:hAnsi="宋体" w:cs="Times New Roman" w:hint="eastAsia"/>
          <w:spacing w:val="6"/>
          <w:sz w:val="32"/>
          <w:szCs w:val="32"/>
        </w:rPr>
      </w:pPr>
      <w:r>
        <w:rPr>
          <w:rFonts w:ascii="宋体" w:eastAsia="仿宋_GB2312" w:hAnsi="宋体" w:cs="Times New Roman" w:hint="eastAsia"/>
          <w:bCs/>
          <w:spacing w:val="6"/>
          <w:sz w:val="32"/>
          <w:szCs w:val="32"/>
          <w:u w:val="single"/>
        </w:rPr>
        <w:t>编码：</w:t>
      </w:r>
      <w:r>
        <w:rPr>
          <w:rFonts w:ascii="宋体" w:eastAsia="仿宋_GB2312" w:hAnsi="宋体" w:cs="Times New Roman" w:hint="eastAsia"/>
          <w:bCs/>
          <w:spacing w:val="6"/>
          <w:sz w:val="32"/>
          <w:szCs w:val="32"/>
          <w:u w:val="single"/>
        </w:rPr>
        <w:t xml:space="preserve">                </w:t>
      </w:r>
    </w:p>
    <w:tbl>
      <w:tblPr>
        <w:tblW w:w="9979" w:type="dxa"/>
        <w:jc w:val="center"/>
        <w:tblCellSpacing w:w="0" w:type="dxa"/>
        <w:tblInd w:w="-2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5"/>
        <w:gridCol w:w="1934"/>
        <w:gridCol w:w="50"/>
        <w:gridCol w:w="851"/>
        <w:gridCol w:w="1038"/>
        <w:gridCol w:w="805"/>
        <w:gridCol w:w="708"/>
        <w:gridCol w:w="335"/>
        <w:gridCol w:w="2003"/>
      </w:tblGrid>
      <w:tr w:rsidR="00FB032F" w:rsidTr="00FB032F">
        <w:trPr>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研发中心名称</w:t>
            </w:r>
          </w:p>
        </w:tc>
        <w:tc>
          <w:tcPr>
            <w:tcW w:w="7724" w:type="dxa"/>
            <w:gridSpan w:val="8"/>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r>
      <w:tr w:rsidR="00FB032F" w:rsidTr="00FB032F">
        <w:trPr>
          <w:trHeight w:val="375"/>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设立批准/备案机关</w:t>
            </w:r>
          </w:p>
        </w:tc>
        <w:tc>
          <w:tcPr>
            <w:tcW w:w="7724" w:type="dxa"/>
            <w:gridSpan w:val="8"/>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r>
      <w:tr w:rsidR="00FB032F" w:rsidTr="00FB032F">
        <w:trPr>
          <w:trHeight w:val="1178"/>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组织机构代码/统一社会信用代码</w:t>
            </w:r>
          </w:p>
        </w:tc>
        <w:tc>
          <w:tcPr>
            <w:tcW w:w="1934" w:type="dxa"/>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c>
          <w:tcPr>
            <w:tcW w:w="2744" w:type="dxa"/>
            <w:gridSpan w:val="4"/>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研发中心设立日期</w:t>
            </w:r>
          </w:p>
        </w:tc>
        <w:tc>
          <w:tcPr>
            <w:tcW w:w="3046" w:type="dxa"/>
            <w:gridSpan w:val="3"/>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b/>
                <w:bCs/>
                <w:spacing w:val="6"/>
                <w:sz w:val="24"/>
                <w:szCs w:val="24"/>
              </w:rPr>
              <w:t>年  月  日</w:t>
            </w:r>
          </w:p>
        </w:tc>
      </w:tr>
      <w:tr w:rsidR="00FB032F" w:rsidTr="00FB032F">
        <w:trPr>
          <w:trHeight w:val="815"/>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研发中心性质</w:t>
            </w:r>
          </w:p>
        </w:tc>
        <w:tc>
          <w:tcPr>
            <w:tcW w:w="7724" w:type="dxa"/>
            <w:gridSpan w:val="8"/>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 xml:space="preserve">　　□独立法人　 　□ 分公司　 　□ 内设部门</w:t>
            </w:r>
          </w:p>
        </w:tc>
      </w:tr>
      <w:tr w:rsidR="00FB032F" w:rsidTr="00FB032F">
        <w:trPr>
          <w:trHeight w:val="595"/>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bCs/>
                <w:spacing w:val="6"/>
                <w:sz w:val="24"/>
                <w:szCs w:val="24"/>
              </w:rPr>
              <w:t>联 系 人</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电话</w:t>
            </w:r>
          </w:p>
        </w:tc>
        <w:tc>
          <w:tcPr>
            <w:tcW w:w="1843" w:type="dxa"/>
            <w:gridSpan w:val="2"/>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c>
          <w:tcPr>
            <w:tcW w:w="708"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传真</w:t>
            </w:r>
          </w:p>
        </w:tc>
        <w:tc>
          <w:tcPr>
            <w:tcW w:w="2338" w:type="dxa"/>
            <w:gridSpan w:val="2"/>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r>
      <w:tr w:rsidR="00FB032F" w:rsidTr="00FB032F">
        <w:trPr>
          <w:trHeight w:val="332"/>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经营范围</w:t>
            </w:r>
          </w:p>
        </w:tc>
        <w:tc>
          <w:tcPr>
            <w:tcW w:w="7724" w:type="dxa"/>
            <w:gridSpan w:val="8"/>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r>
      <w:tr w:rsidR="00FB032F" w:rsidTr="00FB032F">
        <w:trPr>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研发领域</w:t>
            </w:r>
          </w:p>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（可多选）</w:t>
            </w:r>
          </w:p>
        </w:tc>
        <w:tc>
          <w:tcPr>
            <w:tcW w:w="7724" w:type="dxa"/>
            <w:gridSpan w:val="8"/>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bCs/>
                <w:spacing w:val="6"/>
                <w:sz w:val="24"/>
                <w:szCs w:val="24"/>
              </w:rPr>
            </w:pPr>
            <w:r>
              <w:rPr>
                <w:rFonts w:ascii="仿宋_GB2312" w:eastAsia="仿宋_GB2312" w:hAnsi="宋体" w:cs="Times New Roman" w:hint="eastAsia"/>
                <w:bCs/>
                <w:spacing w:val="6"/>
                <w:sz w:val="24"/>
                <w:szCs w:val="24"/>
              </w:rPr>
              <w:t>□电子□生物医药□新能源□新材料□环保□汽车□化工□农业□软件开发□专用设备□轻工□其他</w:t>
            </w:r>
          </w:p>
        </w:tc>
      </w:tr>
      <w:tr w:rsidR="00FB032F" w:rsidTr="00FB032F">
        <w:trPr>
          <w:trHeight w:val="1032"/>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bCs/>
                <w:spacing w:val="6"/>
                <w:sz w:val="24"/>
                <w:szCs w:val="24"/>
              </w:rPr>
              <w:t>投资总额/</w:t>
            </w:r>
            <w:proofErr w:type="gramStart"/>
            <w:r>
              <w:rPr>
                <w:rFonts w:ascii="仿宋_GB2312" w:eastAsia="仿宋_GB2312" w:hAnsi="宋体" w:cs="Times New Roman" w:hint="eastAsia"/>
                <w:bCs/>
                <w:spacing w:val="6"/>
                <w:sz w:val="24"/>
                <w:szCs w:val="24"/>
              </w:rPr>
              <w:t>研发总</w:t>
            </w:r>
            <w:proofErr w:type="gramEnd"/>
            <w:r>
              <w:rPr>
                <w:rFonts w:ascii="仿宋_GB2312" w:eastAsia="仿宋_GB2312" w:hAnsi="宋体" w:cs="Times New Roman" w:hint="eastAsia"/>
                <w:bCs/>
                <w:spacing w:val="6"/>
                <w:sz w:val="24"/>
                <w:szCs w:val="24"/>
              </w:rPr>
              <w:t>投入（万美元）</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c>
          <w:tcPr>
            <w:tcW w:w="2694" w:type="dxa"/>
            <w:gridSpan w:val="3"/>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专职研究与试验发展人员人数</w:t>
            </w:r>
          </w:p>
        </w:tc>
        <w:tc>
          <w:tcPr>
            <w:tcW w:w="3046" w:type="dxa"/>
            <w:gridSpan w:val="3"/>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r>
      <w:tr w:rsidR="00FB032F" w:rsidTr="00FB032F">
        <w:trPr>
          <w:trHeight w:val="964"/>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研发经费年支出额（万元）</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c>
          <w:tcPr>
            <w:tcW w:w="2694" w:type="dxa"/>
            <w:gridSpan w:val="3"/>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已缴税金（元）</w:t>
            </w:r>
          </w:p>
        </w:tc>
        <w:tc>
          <w:tcPr>
            <w:tcW w:w="3046" w:type="dxa"/>
            <w:gridSpan w:val="3"/>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r>
      <w:tr w:rsidR="00FB032F" w:rsidTr="00FB032F">
        <w:trPr>
          <w:trHeight w:val="412"/>
          <w:tblCellSpacing w:w="0" w:type="dxa"/>
          <w:jc w:val="center"/>
        </w:trPr>
        <w:tc>
          <w:tcPr>
            <w:tcW w:w="2255" w:type="dxa"/>
            <w:vMerge w:val="restart"/>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累计采购设备原值（万元）</w:t>
            </w:r>
          </w:p>
        </w:tc>
        <w:tc>
          <w:tcPr>
            <w:tcW w:w="1984" w:type="dxa"/>
            <w:gridSpan w:val="2"/>
            <w:tcBorders>
              <w:top w:val="outset" w:sz="6" w:space="0" w:color="auto"/>
              <w:left w:val="outset" w:sz="6" w:space="0" w:color="auto"/>
              <w:bottom w:val="nil"/>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进口设备</w:t>
            </w:r>
          </w:p>
        </w:tc>
        <w:tc>
          <w:tcPr>
            <w:tcW w:w="5740" w:type="dxa"/>
            <w:gridSpan w:val="6"/>
            <w:tcBorders>
              <w:top w:val="outset" w:sz="6" w:space="0" w:color="auto"/>
              <w:left w:val="outset" w:sz="6" w:space="0" w:color="auto"/>
              <w:bottom w:val="nil"/>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r>
      <w:tr w:rsidR="00FB032F" w:rsidTr="00FB032F">
        <w:trPr>
          <w:trHeight w:val="41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32F" w:rsidRDefault="00FB032F">
            <w:pPr>
              <w:widowControl/>
              <w:jc w:val="left"/>
              <w:rPr>
                <w:rFonts w:ascii="仿宋_GB2312" w:eastAsia="仿宋_GB2312" w:hAnsi="宋体" w:cs="Times New Roman"/>
                <w:spacing w:val="6"/>
                <w:sz w:val="24"/>
                <w:szCs w:val="24"/>
              </w:rPr>
            </w:pPr>
          </w:p>
        </w:tc>
        <w:tc>
          <w:tcPr>
            <w:tcW w:w="1984" w:type="dxa"/>
            <w:gridSpan w:val="2"/>
            <w:tcBorders>
              <w:top w:val="outset" w:sz="6" w:space="0" w:color="auto"/>
              <w:left w:val="outset" w:sz="6" w:space="0" w:color="auto"/>
              <w:bottom w:val="nil"/>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采购国产设备</w:t>
            </w:r>
          </w:p>
        </w:tc>
        <w:tc>
          <w:tcPr>
            <w:tcW w:w="5740" w:type="dxa"/>
            <w:gridSpan w:val="6"/>
            <w:tcBorders>
              <w:top w:val="outset" w:sz="6" w:space="0" w:color="auto"/>
              <w:left w:val="outset" w:sz="6" w:space="0" w:color="auto"/>
              <w:bottom w:val="nil"/>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r>
      <w:tr w:rsidR="00FB032F" w:rsidTr="00FB032F">
        <w:trPr>
          <w:trHeight w:val="4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32F" w:rsidRDefault="00FB032F">
            <w:pPr>
              <w:widowControl/>
              <w:jc w:val="left"/>
              <w:rPr>
                <w:rFonts w:ascii="仿宋_GB2312" w:eastAsia="仿宋_GB2312" w:hAnsi="宋体" w:cs="Times New Roman"/>
                <w:spacing w:val="6"/>
                <w:sz w:val="24"/>
                <w:szCs w:val="24"/>
              </w:rPr>
            </w:pPr>
          </w:p>
        </w:tc>
        <w:tc>
          <w:tcPr>
            <w:tcW w:w="1984" w:type="dxa"/>
            <w:gridSpan w:val="2"/>
            <w:tcBorders>
              <w:top w:val="outset" w:sz="6" w:space="0" w:color="auto"/>
              <w:left w:val="outset" w:sz="6" w:space="0" w:color="auto"/>
              <w:bottom w:val="nil"/>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总计</w:t>
            </w:r>
          </w:p>
        </w:tc>
        <w:tc>
          <w:tcPr>
            <w:tcW w:w="5740" w:type="dxa"/>
            <w:gridSpan w:val="6"/>
            <w:tcBorders>
              <w:top w:val="outset" w:sz="6" w:space="0" w:color="auto"/>
              <w:left w:val="outset" w:sz="6" w:space="0" w:color="auto"/>
              <w:bottom w:val="nil"/>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r>
      <w:tr w:rsidR="00FB032F" w:rsidTr="00FB032F">
        <w:trPr>
          <w:tblCellSpacing w:w="0" w:type="dxa"/>
          <w:jc w:val="center"/>
        </w:trPr>
        <w:tc>
          <w:tcPr>
            <w:tcW w:w="9979" w:type="dxa"/>
            <w:gridSpan w:val="9"/>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lef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以下由审核部门填写</w:t>
            </w:r>
          </w:p>
        </w:tc>
      </w:tr>
      <w:tr w:rsidR="00FB032F" w:rsidTr="00FB032F">
        <w:trPr>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lastRenderedPageBreak/>
              <w:t>审核意见</w:t>
            </w:r>
          </w:p>
        </w:tc>
        <w:tc>
          <w:tcPr>
            <w:tcW w:w="5386" w:type="dxa"/>
            <w:gridSpan w:val="6"/>
            <w:tcBorders>
              <w:top w:val="outset" w:sz="6" w:space="0" w:color="auto"/>
              <w:left w:val="outset" w:sz="6" w:space="0" w:color="auto"/>
              <w:bottom w:val="outset" w:sz="6" w:space="0" w:color="auto"/>
              <w:right w:val="outset" w:sz="6" w:space="0" w:color="auto"/>
            </w:tcBorders>
            <w:vAlign w:val="center"/>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tc>
        <w:tc>
          <w:tcPr>
            <w:tcW w:w="2338" w:type="dxa"/>
            <w:gridSpan w:val="2"/>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 通过</w:t>
            </w:r>
          </w:p>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 未通过</w:t>
            </w:r>
          </w:p>
        </w:tc>
      </w:tr>
      <w:tr w:rsidR="00FB032F" w:rsidTr="00FB032F">
        <w:trPr>
          <w:tblCellSpacing w:w="0" w:type="dxa"/>
          <w:jc w:val="center"/>
        </w:trPr>
        <w:tc>
          <w:tcPr>
            <w:tcW w:w="2255" w:type="dxa"/>
            <w:vMerge w:val="restart"/>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各部门签字</w:t>
            </w:r>
          </w:p>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（盖章）</w:t>
            </w: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商务</w:t>
            </w:r>
          </w:p>
        </w:tc>
        <w:tc>
          <w:tcPr>
            <w:tcW w:w="1889" w:type="dxa"/>
            <w:gridSpan w:val="2"/>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财政</w:t>
            </w:r>
          </w:p>
        </w:tc>
        <w:tc>
          <w:tcPr>
            <w:tcW w:w="1848" w:type="dxa"/>
            <w:gridSpan w:val="3"/>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海关</w:t>
            </w:r>
          </w:p>
        </w:tc>
        <w:tc>
          <w:tcPr>
            <w:tcW w:w="2003"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税务</w:t>
            </w:r>
          </w:p>
        </w:tc>
      </w:tr>
      <w:tr w:rsidR="00FB032F" w:rsidTr="00FB032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32F" w:rsidRDefault="00FB032F">
            <w:pPr>
              <w:widowControl/>
              <w:jc w:val="left"/>
              <w:rPr>
                <w:rFonts w:ascii="仿宋_GB2312" w:eastAsia="仿宋_GB2312" w:hAnsi="宋体" w:cs="Times New Roman"/>
                <w:spacing w:val="6"/>
                <w:sz w:val="24"/>
                <w:szCs w:val="24"/>
              </w:rPr>
            </w:pPr>
          </w:p>
        </w:tc>
        <w:tc>
          <w:tcPr>
            <w:tcW w:w="1984" w:type="dxa"/>
            <w:gridSpan w:val="2"/>
            <w:tcBorders>
              <w:top w:val="outset" w:sz="6" w:space="0" w:color="auto"/>
              <w:left w:val="outset" w:sz="6" w:space="0" w:color="auto"/>
              <w:bottom w:val="outset" w:sz="6" w:space="0" w:color="auto"/>
              <w:right w:val="outset" w:sz="6" w:space="0" w:color="auto"/>
            </w:tcBorders>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hint="eastAsia"/>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hint="eastAsia"/>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bCs/>
                <w:spacing w:val="6"/>
                <w:sz w:val="24"/>
                <w:szCs w:val="24"/>
              </w:rPr>
              <w:t>年  月  日</w:t>
            </w:r>
          </w:p>
        </w:tc>
        <w:tc>
          <w:tcPr>
            <w:tcW w:w="1889" w:type="dxa"/>
            <w:gridSpan w:val="2"/>
            <w:tcBorders>
              <w:top w:val="outset" w:sz="6" w:space="0" w:color="auto"/>
              <w:left w:val="outset" w:sz="6" w:space="0" w:color="auto"/>
              <w:bottom w:val="outset" w:sz="6" w:space="0" w:color="auto"/>
              <w:right w:val="outset" w:sz="6" w:space="0" w:color="auto"/>
            </w:tcBorders>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hint="eastAsia"/>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hint="eastAsia"/>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bCs/>
                <w:spacing w:val="6"/>
                <w:sz w:val="24"/>
                <w:szCs w:val="24"/>
              </w:rPr>
              <w:t xml:space="preserve">   年  月  日</w:t>
            </w:r>
          </w:p>
        </w:tc>
        <w:tc>
          <w:tcPr>
            <w:tcW w:w="1848" w:type="dxa"/>
            <w:gridSpan w:val="3"/>
            <w:tcBorders>
              <w:top w:val="outset" w:sz="6" w:space="0" w:color="auto"/>
              <w:left w:val="outset" w:sz="6" w:space="0" w:color="auto"/>
              <w:bottom w:val="outset" w:sz="6" w:space="0" w:color="auto"/>
              <w:right w:val="outset" w:sz="6" w:space="0" w:color="auto"/>
            </w:tcBorders>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hint="eastAsia"/>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hint="eastAsia"/>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bCs/>
                <w:spacing w:val="6"/>
                <w:sz w:val="24"/>
                <w:szCs w:val="24"/>
              </w:rPr>
              <w:t xml:space="preserve">   年  月  日</w:t>
            </w:r>
          </w:p>
        </w:tc>
        <w:tc>
          <w:tcPr>
            <w:tcW w:w="2003" w:type="dxa"/>
            <w:tcBorders>
              <w:top w:val="outset" w:sz="6" w:space="0" w:color="auto"/>
              <w:left w:val="outset" w:sz="6" w:space="0" w:color="auto"/>
              <w:bottom w:val="outset" w:sz="6" w:space="0" w:color="auto"/>
              <w:right w:val="outset" w:sz="6" w:space="0" w:color="auto"/>
            </w:tcBorders>
          </w:tcPr>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hint="eastAsia"/>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hint="eastAsia"/>
                <w:spacing w:val="6"/>
                <w:sz w:val="24"/>
                <w:szCs w:val="24"/>
              </w:rPr>
            </w:pPr>
          </w:p>
          <w:p w:rsidR="00FB032F" w:rsidRDefault="00FB032F">
            <w:pPr>
              <w:autoSpaceDE w:val="0"/>
              <w:autoSpaceDN w:val="0"/>
              <w:adjustRightInd w:val="0"/>
              <w:snapToGrid w:val="0"/>
              <w:spacing w:line="588" w:lineRule="atLeast"/>
              <w:rPr>
                <w:rFonts w:ascii="仿宋_GB2312" w:eastAsia="仿宋_GB2312" w:hAnsi="宋体" w:cs="Times New Roman"/>
                <w:spacing w:val="6"/>
                <w:sz w:val="24"/>
                <w:szCs w:val="24"/>
              </w:rPr>
            </w:pPr>
            <w:r>
              <w:rPr>
                <w:rFonts w:ascii="仿宋_GB2312" w:eastAsia="仿宋_GB2312" w:hAnsi="宋体" w:cs="Times New Roman" w:hint="eastAsia"/>
                <w:bCs/>
                <w:spacing w:val="6"/>
                <w:sz w:val="24"/>
                <w:szCs w:val="24"/>
              </w:rPr>
              <w:t xml:space="preserve">    年  月  日</w:t>
            </w:r>
          </w:p>
        </w:tc>
      </w:tr>
      <w:tr w:rsidR="00FB032F" w:rsidTr="00FB032F">
        <w:trPr>
          <w:tblCellSpacing w:w="0" w:type="dxa"/>
          <w:jc w:val="center"/>
        </w:trPr>
        <w:tc>
          <w:tcPr>
            <w:tcW w:w="2255" w:type="dxa"/>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spacing w:val="6"/>
                <w:sz w:val="24"/>
                <w:szCs w:val="24"/>
              </w:rPr>
              <w:t>公告日期</w:t>
            </w:r>
          </w:p>
        </w:tc>
        <w:tc>
          <w:tcPr>
            <w:tcW w:w="7724" w:type="dxa"/>
            <w:gridSpan w:val="8"/>
            <w:tcBorders>
              <w:top w:val="outset" w:sz="6" w:space="0" w:color="auto"/>
              <w:left w:val="outset" w:sz="6" w:space="0" w:color="auto"/>
              <w:bottom w:val="outset" w:sz="6" w:space="0" w:color="auto"/>
              <w:right w:val="outset" w:sz="6" w:space="0" w:color="auto"/>
            </w:tcBorders>
            <w:vAlign w:val="center"/>
            <w:hideMark/>
          </w:tcPr>
          <w:p w:rsidR="00FB032F" w:rsidRDefault="00FB032F">
            <w:pPr>
              <w:autoSpaceDE w:val="0"/>
              <w:autoSpaceDN w:val="0"/>
              <w:adjustRightInd w:val="0"/>
              <w:snapToGrid w:val="0"/>
              <w:spacing w:line="588" w:lineRule="atLeast"/>
              <w:jc w:val="center"/>
              <w:rPr>
                <w:rFonts w:ascii="仿宋_GB2312" w:eastAsia="仿宋_GB2312" w:hAnsi="宋体" w:cs="Times New Roman"/>
                <w:spacing w:val="6"/>
                <w:sz w:val="24"/>
                <w:szCs w:val="24"/>
              </w:rPr>
            </w:pPr>
            <w:r>
              <w:rPr>
                <w:rFonts w:ascii="仿宋_GB2312" w:eastAsia="仿宋_GB2312" w:hAnsi="宋体" w:cs="Times New Roman" w:hint="eastAsia"/>
                <w:bCs/>
                <w:spacing w:val="6"/>
                <w:sz w:val="24"/>
                <w:szCs w:val="24"/>
              </w:rPr>
              <w:t>年  月  日</w:t>
            </w:r>
          </w:p>
        </w:tc>
      </w:tr>
    </w:tbl>
    <w:p w:rsidR="00FB032F" w:rsidRDefault="00FB032F" w:rsidP="00FB032F">
      <w:pPr>
        <w:autoSpaceDE w:val="0"/>
        <w:autoSpaceDN w:val="0"/>
        <w:adjustRightInd w:val="0"/>
        <w:snapToGrid w:val="0"/>
        <w:spacing w:line="588" w:lineRule="atLeast"/>
        <w:rPr>
          <w:rFonts w:ascii="仿宋_GB2312" w:eastAsia="仿宋_GB2312" w:hAnsi="宋体" w:cs="Times New Roman" w:hint="eastAsia"/>
          <w:spacing w:val="6"/>
          <w:sz w:val="24"/>
          <w:szCs w:val="24"/>
        </w:rPr>
      </w:pPr>
      <w:r>
        <w:rPr>
          <w:rFonts w:ascii="仿宋_GB2312" w:eastAsia="仿宋_GB2312" w:hAnsi="宋体" w:cs="Times New Roman" w:hint="eastAsia"/>
          <w:spacing w:val="6"/>
          <w:sz w:val="24"/>
          <w:szCs w:val="24"/>
        </w:rPr>
        <w:t>注：1、外资研发中心为分公司或内设机构的，企业名称和组织机构代码/统一社会信用代码均填写其所在外商投资企业。</w:t>
      </w:r>
    </w:p>
    <w:p w:rsidR="00FB032F" w:rsidRDefault="00FB032F" w:rsidP="00FB032F">
      <w:pPr>
        <w:autoSpaceDE w:val="0"/>
        <w:autoSpaceDN w:val="0"/>
        <w:adjustRightInd w:val="0"/>
        <w:snapToGrid w:val="0"/>
        <w:spacing w:line="588" w:lineRule="atLeast"/>
        <w:ind w:firstLineChars="200" w:firstLine="504"/>
        <w:rPr>
          <w:rFonts w:ascii="仿宋_GB2312" w:eastAsia="仿宋_GB2312" w:hAnsi="宋体" w:cs="Times New Roman" w:hint="eastAsia"/>
          <w:spacing w:val="6"/>
          <w:sz w:val="24"/>
          <w:szCs w:val="24"/>
        </w:rPr>
      </w:pPr>
      <w:r>
        <w:rPr>
          <w:rFonts w:ascii="仿宋_GB2312" w:eastAsia="仿宋_GB2312" w:hAnsi="宋体" w:cs="Times New Roman" w:hint="eastAsia"/>
          <w:spacing w:val="6"/>
          <w:sz w:val="24"/>
          <w:szCs w:val="24"/>
        </w:rPr>
        <w:t>2、币种以表内标注为准，金额根据当年人民币汇率平均价计算。</w:t>
      </w:r>
    </w:p>
    <w:p w:rsidR="00FB032F" w:rsidRDefault="00FB032F" w:rsidP="00FB032F">
      <w:pPr>
        <w:autoSpaceDE w:val="0"/>
        <w:autoSpaceDN w:val="0"/>
        <w:adjustRightInd w:val="0"/>
        <w:snapToGrid w:val="0"/>
        <w:spacing w:line="588" w:lineRule="atLeast"/>
        <w:ind w:firstLineChars="150" w:firstLine="378"/>
        <w:rPr>
          <w:rFonts w:ascii="仿宋_GB2312" w:eastAsia="仿宋_GB2312" w:hAnsi="宋体" w:cs="Times New Roman" w:hint="eastAsia"/>
          <w:spacing w:val="6"/>
          <w:sz w:val="24"/>
          <w:szCs w:val="24"/>
        </w:rPr>
      </w:pPr>
      <w:r>
        <w:rPr>
          <w:rFonts w:ascii="仿宋_GB2312" w:eastAsia="仿宋_GB2312" w:hAnsi="宋体" w:cs="Times New Roman" w:hint="eastAsia"/>
          <w:spacing w:val="6"/>
          <w:sz w:val="24"/>
          <w:szCs w:val="24"/>
        </w:rPr>
        <w:t xml:space="preserve"> 3、已缴税金为自2016年1月1日起，外资研发中心采购符合条件的设备所缴纳的增值税。</w:t>
      </w:r>
    </w:p>
    <w:p w:rsidR="00FB032F" w:rsidRDefault="00FB032F" w:rsidP="00FB032F">
      <w:pPr>
        <w:rPr>
          <w:rFonts w:hint="eastAsia"/>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rPr>
          <w:rFonts w:ascii="仿宋_GB2312" w:eastAsia="仿宋_GB2312" w:hint="eastAsia"/>
          <w:sz w:val="32"/>
          <w:szCs w:val="32"/>
        </w:rPr>
      </w:pPr>
    </w:p>
    <w:p w:rsidR="00FB032F" w:rsidRDefault="00FB032F" w:rsidP="00FB032F">
      <w:pPr>
        <w:autoSpaceDE w:val="0"/>
        <w:autoSpaceDN w:val="0"/>
        <w:adjustRightInd w:val="0"/>
        <w:snapToGrid w:val="0"/>
        <w:spacing w:line="588" w:lineRule="atLeast"/>
        <w:rPr>
          <w:rFonts w:ascii="仿宋_GB2312" w:eastAsia="仿宋_GB2312" w:hAnsi="宋体" w:cs="Times New Roman"/>
          <w:spacing w:val="6"/>
          <w:sz w:val="32"/>
          <w:szCs w:val="32"/>
        </w:rPr>
      </w:pPr>
      <w:r>
        <w:rPr>
          <w:rFonts w:ascii="仿宋_GB2312" w:eastAsia="仿宋_GB2312" w:hAnsi="宋体" w:cs="Times New Roman" w:hint="eastAsia"/>
          <w:spacing w:val="6"/>
          <w:sz w:val="32"/>
          <w:szCs w:val="32"/>
        </w:rPr>
        <w:lastRenderedPageBreak/>
        <w:t>附件2：</w:t>
      </w:r>
    </w:p>
    <w:p w:rsidR="00FB032F" w:rsidRDefault="00FB032F" w:rsidP="00FB032F">
      <w:pPr>
        <w:autoSpaceDE w:val="0"/>
        <w:autoSpaceDN w:val="0"/>
        <w:adjustRightInd w:val="0"/>
        <w:snapToGrid w:val="0"/>
        <w:spacing w:line="588" w:lineRule="atLeast"/>
        <w:jc w:val="center"/>
        <w:rPr>
          <w:rFonts w:ascii="仿宋_GB2312" w:eastAsia="仿宋_GB2312" w:hAnsi="宋体" w:cs="Times New Roman" w:hint="eastAsia"/>
          <w:b/>
          <w:spacing w:val="6"/>
          <w:sz w:val="32"/>
          <w:szCs w:val="32"/>
        </w:rPr>
      </w:pPr>
      <w:r>
        <w:rPr>
          <w:rFonts w:ascii="仿宋_GB2312" w:eastAsia="仿宋_GB2312" w:hAnsi="宋体" w:cs="Times New Roman" w:hint="eastAsia"/>
          <w:b/>
          <w:spacing w:val="6"/>
          <w:sz w:val="32"/>
          <w:szCs w:val="32"/>
        </w:rPr>
        <w:t>科技开发、科学研究和教学设备清单</w:t>
      </w:r>
    </w:p>
    <w:p w:rsidR="00FB032F" w:rsidRDefault="00FB032F" w:rsidP="00FB032F">
      <w:pPr>
        <w:autoSpaceDE w:val="0"/>
        <w:autoSpaceDN w:val="0"/>
        <w:adjustRightInd w:val="0"/>
        <w:snapToGrid w:val="0"/>
        <w:spacing w:line="588" w:lineRule="atLeast"/>
        <w:rPr>
          <w:rFonts w:ascii="宋体" w:eastAsia="仿宋_GB2312" w:hAnsi="宋体" w:cs="Times New Roman" w:hint="eastAsia"/>
          <w:spacing w:val="6"/>
          <w:sz w:val="32"/>
          <w:szCs w:val="32"/>
        </w:rPr>
      </w:pP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科技开发、科学研究和教学设备，是指符合《中华人民共和国增值税暂行条例实施细则》（财政部国家税务总局令第</w:t>
      </w:r>
      <w:r>
        <w:rPr>
          <w:rFonts w:ascii="宋体" w:eastAsia="仿宋_GB2312" w:hAnsi="宋体" w:cs="Times New Roman" w:hint="eastAsia"/>
          <w:spacing w:val="6"/>
          <w:sz w:val="32"/>
          <w:szCs w:val="32"/>
        </w:rPr>
        <w:t>50</w:t>
      </w:r>
      <w:r>
        <w:rPr>
          <w:rFonts w:ascii="宋体" w:eastAsia="仿宋_GB2312" w:hAnsi="宋体" w:cs="Times New Roman" w:hint="eastAsia"/>
          <w:spacing w:val="6"/>
          <w:sz w:val="32"/>
          <w:szCs w:val="32"/>
        </w:rPr>
        <w:t>号）第二十一条“固定资产”的相关规定，为科学研究、教学和科技开发提供必要条件的实验设备、装置和器械（不包括中试设备）。具体包括以下四类：</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一、实验环境方面</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（一）教学实验仪器及装置；</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（二）教学示教、演示仪器及装置；</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（三）超净设备（如换气、灭菌、纯水、净化设备等）；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（四）特殊实验环境设备（如超低温、超高温、高压、低压、强腐蚀设备等）；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（五）特殊电源、光源设备；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（六）清洗循环设备；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（七）恒温设备（如水浴、恒温箱、灭菌仪等）；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（八）小型粉碎、研磨制备设备。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二、样品制备设备和装置</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（一）特种泵类（如分子泵、离子泵、真空泵、蠕动泵、蜗轮泵、干泵等）；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（二）培养设备（如培养箱、发酵罐等）；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（三）微量取样设备（如取样器、精密天平等）；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lastRenderedPageBreak/>
        <w:t>（四）分离、纯化、浓缩设备（如离心机、层析、色谱、萃取、结晶设备、旋转蒸发器等）；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（五）气体、液体、固体混合设备（如旋涡混合器等）；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（六）制气设备、气体压缩设备；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（七）专用制样设备（如切片机、压片机、镀膜机、减薄仪、抛光机等），实验用注射、挤出、造粒、膜压设备；实验室样品前处理设备。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三、实验室专用设备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（一）特殊照相和摄影设备（如水下、高空、高温、低温等）；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（二）科研飞机、船舶用关键设备；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（三）特种数据记录设备（如大幅面扫描仪、大幅面绘图仪、磁带机、光盘机等）；</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四）材料科学专用设备（如干胶仪、特种坩埚、陶瓷、图形转换设备、制版用干板、特种等离子体源、离子源、外延炉、扩散炉、溅射仪、离子刻蚀机，材料实验机等），可靠性试验设备，微电子加工设备，通信模拟仿真设备，通信环境试验设备；</w:t>
      </w:r>
    </w:p>
    <w:p w:rsidR="00FB032F" w:rsidRDefault="00FB032F" w:rsidP="00FB032F">
      <w:pPr>
        <w:autoSpaceDE w:val="0"/>
        <w:autoSpaceDN w:val="0"/>
        <w:adjustRightInd w:val="0"/>
        <w:snapToGrid w:val="0"/>
        <w:spacing w:line="588" w:lineRule="atLeast"/>
        <w:ind w:rightChars="-22" w:right="-46"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（五）</w:t>
      </w:r>
      <w:r>
        <w:rPr>
          <w:rFonts w:ascii="宋体" w:eastAsia="仿宋_GB2312" w:hAnsi="宋体" w:cs="Times New Roman" w:hint="eastAsia"/>
          <w:spacing w:val="-6"/>
          <w:sz w:val="32"/>
          <w:szCs w:val="32"/>
        </w:rPr>
        <w:t>小型熔炼设备（如真空、粉末、</w:t>
      </w:r>
      <w:proofErr w:type="gramStart"/>
      <w:r>
        <w:rPr>
          <w:rFonts w:ascii="宋体" w:eastAsia="仿宋_GB2312" w:hAnsi="宋体" w:cs="Times New Roman" w:hint="eastAsia"/>
          <w:spacing w:val="-6"/>
          <w:sz w:val="32"/>
          <w:szCs w:val="32"/>
        </w:rPr>
        <w:t>电渣等</w:t>
      </w:r>
      <w:proofErr w:type="gramEnd"/>
      <w:r>
        <w:rPr>
          <w:rFonts w:ascii="宋体" w:eastAsia="仿宋_GB2312" w:hAnsi="宋体" w:cs="Times New Roman" w:hint="eastAsia"/>
          <w:spacing w:val="-6"/>
          <w:sz w:val="32"/>
          <w:szCs w:val="32"/>
        </w:rPr>
        <w:t>），特殊焊接设备；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（六）小型染整、纺丝试验专用设备；</w:t>
      </w:r>
    </w:p>
    <w:p w:rsid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（七）电生理设备。</w:t>
      </w:r>
    </w:p>
    <w:p w:rsidR="00FB032F" w:rsidRPr="00FB032F" w:rsidRDefault="00FB032F" w:rsidP="00FB032F">
      <w:pPr>
        <w:autoSpaceDE w:val="0"/>
        <w:autoSpaceDN w:val="0"/>
        <w:adjustRightInd w:val="0"/>
        <w:snapToGrid w:val="0"/>
        <w:spacing w:line="588" w:lineRule="atLeast"/>
        <w:ind w:firstLineChars="200" w:firstLine="664"/>
        <w:rPr>
          <w:rFonts w:ascii="宋体" w:eastAsia="仿宋_GB2312" w:hAnsi="宋体" w:cs="Times New Roman" w:hint="eastAsia"/>
          <w:spacing w:val="6"/>
          <w:sz w:val="32"/>
          <w:szCs w:val="32"/>
        </w:rPr>
      </w:pPr>
      <w:r>
        <w:rPr>
          <w:rFonts w:ascii="宋体" w:eastAsia="仿宋_GB2312" w:hAnsi="宋体" w:cs="Times New Roman" w:hint="eastAsia"/>
          <w:spacing w:val="6"/>
          <w:sz w:val="32"/>
          <w:szCs w:val="32"/>
        </w:rPr>
        <w:t>四、计算机工作站，中型、大型计算机。</w:t>
      </w:r>
    </w:p>
    <w:sectPr w:rsidR="00FB032F" w:rsidRPr="00FB0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2F"/>
    <w:rsid w:val="00264DA8"/>
    <w:rsid w:val="005447FD"/>
    <w:rsid w:val="007E31ED"/>
    <w:rsid w:val="007F739F"/>
    <w:rsid w:val="00FB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B032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3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B032F"/>
    <w:rPr>
      <w:color w:val="0000FF"/>
      <w:u w:val="single"/>
    </w:rPr>
  </w:style>
  <w:style w:type="character" w:customStyle="1" w:styleId="2Char">
    <w:name w:val="标题 2 Char"/>
    <w:basedOn w:val="a0"/>
    <w:link w:val="2"/>
    <w:uiPriority w:val="9"/>
    <w:rsid w:val="00FB032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B032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3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B032F"/>
    <w:rPr>
      <w:color w:val="0000FF"/>
      <w:u w:val="single"/>
    </w:rPr>
  </w:style>
  <w:style w:type="character" w:customStyle="1" w:styleId="2Char">
    <w:name w:val="标题 2 Char"/>
    <w:basedOn w:val="a0"/>
    <w:link w:val="2"/>
    <w:uiPriority w:val="9"/>
    <w:rsid w:val="00FB032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3151">
      <w:bodyDiv w:val="1"/>
      <w:marLeft w:val="0"/>
      <w:marRight w:val="0"/>
      <w:marTop w:val="0"/>
      <w:marBottom w:val="0"/>
      <w:divBdr>
        <w:top w:val="none" w:sz="0" w:space="0" w:color="auto"/>
        <w:left w:val="none" w:sz="0" w:space="0" w:color="auto"/>
        <w:bottom w:val="none" w:sz="0" w:space="0" w:color="auto"/>
        <w:right w:val="none" w:sz="0" w:space="0" w:color="auto"/>
      </w:divBdr>
    </w:div>
    <w:div w:id="705373359">
      <w:bodyDiv w:val="1"/>
      <w:marLeft w:val="0"/>
      <w:marRight w:val="0"/>
      <w:marTop w:val="0"/>
      <w:marBottom w:val="0"/>
      <w:divBdr>
        <w:top w:val="none" w:sz="0" w:space="0" w:color="auto"/>
        <w:left w:val="none" w:sz="0" w:space="0" w:color="auto"/>
        <w:bottom w:val="none" w:sz="0" w:space="0" w:color="auto"/>
        <w:right w:val="none" w:sz="0" w:space="0" w:color="auto"/>
      </w:divBdr>
    </w:div>
    <w:div w:id="1271159193">
      <w:bodyDiv w:val="1"/>
      <w:marLeft w:val="0"/>
      <w:marRight w:val="0"/>
      <w:marTop w:val="0"/>
      <w:marBottom w:val="0"/>
      <w:divBdr>
        <w:top w:val="none" w:sz="0" w:space="0" w:color="auto"/>
        <w:left w:val="none" w:sz="0" w:space="0" w:color="auto"/>
        <w:bottom w:val="none" w:sz="0" w:space="0" w:color="auto"/>
        <w:right w:val="none" w:sz="0" w:space="0" w:color="auto"/>
      </w:divBdr>
    </w:div>
    <w:div w:id="16766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665</Words>
  <Characters>3793</Characters>
  <Application>Microsoft Office Word</Application>
  <DocSecurity>0</DocSecurity>
  <Lines>31</Lines>
  <Paragraphs>8</Paragraphs>
  <ScaleCrop>false</ScaleCrop>
  <Company>Microsoft</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企业发展服务中心-宋佳</dc:creator>
  <cp:lastModifiedBy>企业发展服务中心-宋佳</cp:lastModifiedBy>
  <cp:revision>1</cp:revision>
  <dcterms:created xsi:type="dcterms:W3CDTF">2018-04-08T03:11:00Z</dcterms:created>
  <dcterms:modified xsi:type="dcterms:W3CDTF">2018-04-08T03:14:00Z</dcterms:modified>
</cp:coreProperties>
</file>