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after="156" w:line="360" w:lineRule="auto"/>
        <w:ind w:left="0" w:leftChars="0" w:firstLine="0" w:firstLineChars="0"/>
        <w:jc w:val="both"/>
        <w:rPr>
          <w:rFonts w:ascii="黑体" w:hAnsi="黑体" w:eastAsia="黑体"/>
          <w:sz w:val="30"/>
          <w:szCs w:val="30"/>
          <w:highlight w:val="none"/>
        </w:rPr>
      </w:pPr>
      <w:r>
        <w:rPr>
          <w:rFonts w:hint="eastAsia" w:ascii="黑体" w:hAnsi="黑体" w:eastAsia="黑体"/>
          <w:sz w:val="32"/>
          <w:szCs w:val="32"/>
          <w:highlight w:val="none"/>
        </w:rPr>
        <w:t>苏州工业园区</w:t>
      </w:r>
      <w:r>
        <w:rPr>
          <w:rFonts w:hint="eastAsia" w:ascii="黑体" w:hAnsi="黑体" w:eastAsia="黑体"/>
          <w:sz w:val="32"/>
          <w:szCs w:val="32"/>
          <w:highlight w:val="none"/>
          <w:lang w:eastAsia="zh-CN"/>
        </w:rPr>
        <w:t>企业上市</w:t>
      </w:r>
      <w:r>
        <w:rPr>
          <w:rFonts w:hint="eastAsia" w:ascii="黑体" w:hAnsi="黑体" w:eastAsia="黑体"/>
          <w:sz w:val="32"/>
          <w:szCs w:val="32"/>
          <w:highlight w:val="none"/>
        </w:rPr>
        <w:t>苗圃工程项目申报操作手册</w:t>
      </w:r>
      <w:r>
        <w:rPr>
          <w:rFonts w:hint="eastAsia" w:ascii="黑体" w:hAnsi="黑体" w:eastAsia="黑体"/>
          <w:sz w:val="30"/>
          <w:szCs w:val="30"/>
          <w:highlight w:val="none"/>
        </w:rPr>
        <w:t>（企业端）</w:t>
      </w: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hint="eastAsia" w:ascii="黑体" w:hAnsi="黑体" w:eastAsia="黑体" w:cs="黑体"/>
          <w:sz w:val="30"/>
          <w:szCs w:val="30"/>
          <w:highlight w:val="none"/>
        </w:rPr>
      </w:pPr>
      <w:r>
        <w:rPr>
          <w:rFonts w:hint="eastAsia" w:ascii="黑体" w:hAnsi="黑体" w:eastAsia="黑体" w:cs="黑体"/>
          <w:sz w:val="30"/>
          <w:szCs w:val="30"/>
          <w:highlight w:val="none"/>
        </w:rPr>
        <w:t>访问地址</w:t>
      </w:r>
    </w:p>
    <w:p>
      <w:pPr>
        <w:spacing w:before="156" w:after="156"/>
        <w:ind w:firstLine="480"/>
        <w:rPr>
          <w:rFonts w:asciiTheme="minorEastAsia" w:hAnsiTheme="minorEastAsia" w:cstheme="minorEastAsia"/>
          <w:highlight w:val="none"/>
        </w:rPr>
      </w:pPr>
      <w:r>
        <w:rPr>
          <w:b/>
          <w:bCs/>
          <w:highlight w:val="none"/>
        </w:rPr>
        <w:fldChar w:fldCharType="begin"/>
      </w:r>
      <w:r>
        <w:rPr>
          <w:b/>
          <w:bCs/>
          <w:highlight w:val="none"/>
        </w:rPr>
        <w:instrText xml:space="preserve"> HYPERLINK "http://sme.sipac.gov.cn/" </w:instrText>
      </w:r>
      <w:r>
        <w:rPr>
          <w:b/>
          <w:bCs/>
          <w:highlight w:val="none"/>
        </w:rPr>
        <w:fldChar w:fldCharType="separate"/>
      </w:r>
      <w:r>
        <w:rPr>
          <w:rFonts w:hint="eastAsia" w:asciiTheme="minorEastAsia" w:hAnsiTheme="minorEastAsia" w:cstheme="minorEastAsia"/>
          <w:b/>
          <w:bCs/>
          <w:highlight w:val="none"/>
        </w:rPr>
        <w:t>苏州工业园区企业发展服务中心网站</w:t>
      </w:r>
      <w:r>
        <w:rPr>
          <w:rFonts w:hint="eastAsia" w:asciiTheme="minorEastAsia" w:hAnsiTheme="minorEastAsia" w:cstheme="minorEastAsia"/>
          <w:b/>
          <w:bCs/>
          <w:highlight w:val="none"/>
        </w:rPr>
        <w:fldChar w:fldCharType="end"/>
      </w:r>
      <w:r>
        <w:rPr>
          <w:rFonts w:hint="eastAsia" w:asciiTheme="minorEastAsia" w:hAnsiTheme="minorEastAsia" w:cstheme="minorEastAsia"/>
          <w:highlight w:val="none"/>
        </w:rPr>
        <w:t>：</w:t>
      </w:r>
      <w:bookmarkStart w:id="0" w:name="_GoBack"/>
      <w:r>
        <w:rPr>
          <w:rFonts w:hint="eastAsia" w:asciiTheme="minorEastAsia" w:hAnsiTheme="minorEastAsia" w:cstheme="minorEastAsia"/>
          <w:b/>
          <w:bCs/>
          <w:highlight w:val="none"/>
        </w:rPr>
        <w:t>http://sme.sipac.gov.cn</w:t>
      </w:r>
      <w:bookmarkEnd w:id="0"/>
    </w:p>
    <w:p>
      <w:pPr>
        <w:spacing w:before="156" w:after="156"/>
        <w:ind w:firstLine="480"/>
        <w:rPr>
          <w:rFonts w:hint="eastAsia" w:asciiTheme="minorEastAsia" w:hAnsiTheme="minorEastAsia" w:cstheme="minorEastAsia"/>
          <w:b/>
          <w:bCs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highlight w:val="none"/>
          <w:lang w:val="en-US" w:eastAsia="zh-CN"/>
        </w:rPr>
        <w:t>1、</w:t>
      </w:r>
      <w:r>
        <w:rPr>
          <w:rFonts w:hint="eastAsia" w:asciiTheme="minorEastAsia" w:hAnsiTheme="minorEastAsia" w:cstheme="minorEastAsia"/>
          <w:b/>
          <w:bCs/>
          <w:highlight w:val="none"/>
        </w:rPr>
        <w:t>企业登录，</w:t>
      </w:r>
      <w:r>
        <w:rPr>
          <w:rFonts w:hint="eastAsia" w:asciiTheme="minorEastAsia" w:hAnsiTheme="minorEastAsia" w:cstheme="minorEastAsia"/>
          <w:b/>
          <w:bCs/>
          <w:highlight w:val="none"/>
          <w:lang w:val="en-US" w:eastAsia="zh-CN"/>
        </w:rPr>
        <w:t>点击网站右上角“登录”。</w:t>
      </w:r>
    </w:p>
    <w:p>
      <w:pPr>
        <w:spacing w:before="156" w:after="156"/>
        <w:ind w:left="0" w:leftChars="0" w:firstLine="0" w:firstLineChars="0"/>
        <w:jc w:val="left"/>
      </w:pPr>
      <w:r>
        <w:drawing>
          <wp:inline distT="0" distB="0" distL="114300" distR="114300">
            <wp:extent cx="5267325" cy="2950210"/>
            <wp:effectExtent l="0" t="0" r="9525" b="25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hint="eastAsia" w:asciiTheme="minorEastAsia" w:hAnsiTheme="minorEastAsia" w:cstheme="minorEastAsia"/>
          <w:b/>
          <w:bCs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highlight w:val="none"/>
          <w:lang w:val="en-US" w:eastAsia="zh-CN"/>
        </w:rPr>
        <w:t>2、选择“企业用户”，用户名及密码进行登录。</w:t>
      </w:r>
    </w:p>
    <w:p>
      <w:pPr>
        <w:spacing w:before="156" w:after="156"/>
        <w:ind w:left="0" w:leftChars="0" w:firstLine="0" w:firstLineChars="0"/>
        <w:jc w:val="left"/>
      </w:pPr>
    </w:p>
    <w:p>
      <w:pPr>
        <w:spacing w:before="156" w:after="156"/>
        <w:ind w:left="0" w:leftChars="0" w:firstLine="0" w:firstLineChars="0"/>
        <w:jc w:val="left"/>
      </w:pPr>
      <w:r>
        <w:drawing>
          <wp:inline distT="0" distB="0" distL="114300" distR="114300">
            <wp:extent cx="5265420" cy="2577465"/>
            <wp:effectExtent l="12700" t="12700" r="17780" b="196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74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left="0" w:leftChars="0" w:firstLine="482" w:firstLineChars="200"/>
        <w:jc w:val="left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3、企业用户登录后，点击“</w:t>
      </w:r>
      <w:r>
        <w:rPr>
          <w:rFonts w:hint="eastAsia"/>
          <w:b/>
          <w:bCs/>
          <w:lang w:val="en-US" w:eastAsia="zh-CN"/>
        </w:rPr>
        <w:t>进入企业用户空间”。</w:t>
      </w:r>
    </w:p>
    <w:p>
      <w:pPr>
        <w:spacing w:before="156" w:after="156"/>
        <w:ind w:left="0" w:leftChars="0" w:firstLine="0" w:firstLineChars="0"/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drawing>
          <wp:inline distT="0" distB="0" distL="114300" distR="114300">
            <wp:extent cx="5264785" cy="2343150"/>
            <wp:effectExtent l="0" t="0" r="1206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left="0" w:leftChars="0" w:firstLine="482" w:firstLineChars="200"/>
        <w:rPr>
          <w:rFonts w:asciiTheme="minorEastAsia" w:hAnsiTheme="minorEastAsia" w:cstheme="minorEastAsia"/>
          <w:b/>
          <w:bCs/>
          <w:highlight w:val="none"/>
        </w:rPr>
      </w:pPr>
      <w:r>
        <w:rPr>
          <w:rFonts w:hint="eastAsia" w:asciiTheme="minorEastAsia" w:hAnsiTheme="minorEastAsia" w:cstheme="minorEastAsia"/>
          <w:b/>
          <w:bCs/>
          <w:highlight w:val="none"/>
          <w:lang w:val="en-US" w:eastAsia="zh-CN"/>
        </w:rPr>
        <w:t>4、</w:t>
      </w:r>
      <w:r>
        <w:rPr>
          <w:rFonts w:hint="eastAsia" w:asciiTheme="minorEastAsia" w:hAnsiTheme="minorEastAsia" w:cstheme="minorEastAsia"/>
          <w:b/>
          <w:bCs/>
          <w:highlight w:val="none"/>
        </w:rPr>
        <w:t>选择“</w:t>
      </w:r>
      <w:r>
        <w:rPr>
          <w:rFonts w:hint="eastAsia" w:asciiTheme="minorEastAsia" w:hAnsiTheme="minorEastAsia" w:cstheme="minorEastAsia"/>
          <w:b/>
          <w:bCs/>
          <w:highlight w:val="none"/>
          <w:lang w:val="en-US" w:eastAsia="zh-CN"/>
        </w:rPr>
        <w:t>科技枢纽平台</w:t>
      </w:r>
      <w:r>
        <w:rPr>
          <w:rFonts w:hint="eastAsia" w:asciiTheme="minorEastAsia" w:hAnsiTheme="minorEastAsia" w:cstheme="minorEastAsia"/>
          <w:b/>
          <w:bCs/>
          <w:highlight w:val="none"/>
        </w:rPr>
        <w:t>”进入。</w:t>
      </w:r>
    </w:p>
    <w:p>
      <w:pPr>
        <w:spacing w:before="156" w:after="156"/>
        <w:ind w:firstLine="0" w:firstLineChars="0"/>
      </w:pPr>
      <w:r>
        <w:drawing>
          <wp:inline distT="0" distB="0" distL="114300" distR="114300">
            <wp:extent cx="5264785" cy="2182495"/>
            <wp:effectExtent l="0" t="0" r="12065" b="825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2" w:firstLineChars="200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5、选择“企业上市苗圃工程”进行申报</w:t>
      </w:r>
    </w:p>
    <w:p>
      <w:pPr>
        <w:spacing w:before="156" w:after="156"/>
        <w:ind w:firstLine="0" w:firstLineChars="0"/>
      </w:pPr>
      <w:r>
        <w:drawing>
          <wp:inline distT="0" distB="0" distL="114300" distR="114300">
            <wp:extent cx="4899660" cy="2494915"/>
            <wp:effectExtent l="0" t="0" r="15240" b="6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hint="eastAsia" w:ascii="黑体" w:hAnsi="黑体" w:eastAsia="黑体" w:cs="黑体"/>
          <w:sz w:val="30"/>
          <w:szCs w:val="30"/>
          <w:highlight w:val="none"/>
        </w:rPr>
      </w:pPr>
      <w:r>
        <w:rPr>
          <w:rFonts w:hint="eastAsia" w:ascii="黑体" w:hAnsi="黑体" w:eastAsia="黑体" w:cs="黑体"/>
          <w:sz w:val="30"/>
          <w:szCs w:val="30"/>
          <w:highlight w:val="none"/>
        </w:rPr>
        <w:t>操作步骤</w:t>
      </w: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黑体" w:hAnsi="黑体" w:eastAsia="黑体" w:cs="黑体"/>
          <w:sz w:val="30"/>
          <w:szCs w:val="30"/>
          <w:highlight w:val="none"/>
        </w:rPr>
      </w:pPr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进入</w:t>
      </w:r>
    </w:p>
    <w:p>
      <w:pPr>
        <w:numPr>
          <w:ilvl w:val="0"/>
          <w:numId w:val="0"/>
        </w:numPr>
        <w:ind w:left="0" w:leftChars="0" w:firstLine="420" w:firstLineChars="175"/>
        <w:rPr>
          <w:rFonts w:hint="default" w:asciiTheme="minorEastAsia" w:hAnsiTheme="minorEastAsia" w:eastAsia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企业进入</w:t>
      </w:r>
      <w:r>
        <w:rPr>
          <w:rFonts w:hint="eastAsia" w:asciiTheme="minorEastAsia" w:hAnsiTheme="minorEastAsia" w:cstheme="minorEastAsia"/>
          <w:highlight w:val="none"/>
          <w:lang w:val="en-US" w:eastAsia="zh-CN"/>
        </w:rPr>
        <w:t>园区科技信息枢纽用户中心后，在“我的业务”中选择并点击“企业上市苗圃工程”，进入2019年企业上市苗圃工程项目申报首页。</w:t>
      </w:r>
    </w:p>
    <w:p>
      <w:pPr>
        <w:ind w:left="0" w:leftChars="0" w:firstLine="0" w:firstLineChars="0"/>
        <w:jc w:val="center"/>
        <w:rPr>
          <w:highlight w:val="yellow"/>
        </w:rPr>
      </w:pPr>
      <w:r>
        <w:rPr>
          <w:highlight w:val="none"/>
        </w:rPr>
        <w:drawing>
          <wp:inline distT="0" distB="0" distL="114300" distR="114300">
            <wp:extent cx="5157470" cy="1978660"/>
            <wp:effectExtent l="12700" t="12700" r="30480" b="279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197866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jc w:val="left"/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在2019年企业上市苗圃工程项目申报首页，企业可以查看整个项目申报流程和申报条件；</w:t>
      </w:r>
    </w:p>
    <w:p>
      <w:pPr>
        <w:ind w:left="0" w:leftChars="0" w:firstLine="420" w:firstLineChars="0"/>
        <w:jc w:val="left"/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点击页面中“开始申报”即可进入项目填报页面进行内容填写；</w:t>
      </w:r>
    </w:p>
    <w:p>
      <w:pPr>
        <w:ind w:left="0" w:leftChars="0" w:firstLine="420" w:firstLineChars="0"/>
        <w:jc w:val="left"/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点击页面中“历史记录”即可进入历史申报记录页面查看申报信息。</w:t>
      </w:r>
    </w:p>
    <w:p>
      <w:pPr>
        <w:ind w:left="0" w:leftChars="0" w:firstLine="0" w:firstLineChars="0"/>
        <w:jc w:val="center"/>
        <w:rPr>
          <w:rFonts w:hint="default" w:asciiTheme="minorEastAsia" w:hAnsiTheme="minorEastAsia" w:cstheme="minorEastAsia"/>
          <w:highlight w:val="none"/>
          <w:lang w:val="en-US" w:eastAsia="zh-CN"/>
        </w:rPr>
      </w:pPr>
      <w:r>
        <w:rPr>
          <w:rFonts w:hint="default" w:asciiTheme="minorEastAsia" w:hAnsiTheme="minorEastAsia" w:cstheme="minorEastAsia"/>
          <w:highlight w:val="none"/>
          <w:lang w:val="en-US" w:eastAsia="zh-CN"/>
        </w:rPr>
        <w:drawing>
          <wp:inline distT="0" distB="0" distL="114300" distR="114300">
            <wp:extent cx="4266565" cy="3123565"/>
            <wp:effectExtent l="12700" t="12700" r="26035" b="26035"/>
            <wp:docPr id="9" name="图片 9" descr="业务管理台 _ 企业上市苗圃工程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业务管理台 _ 企业上市苗圃工程项目"/>
                    <pic:cNvPicPr>
                      <a:picLocks noChangeAspect="1"/>
                    </pic:cNvPicPr>
                  </pic:nvPicPr>
                  <pic:blipFill>
                    <a:blip r:embed="rId16"/>
                    <a:srcRect l="6475" r="6788" b="7501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312356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微软雅黑" w:hAnsi="微软雅黑" w:eastAsia="微软雅黑"/>
          <w:sz w:val="30"/>
          <w:szCs w:val="30"/>
          <w:highlight w:val="none"/>
        </w:rPr>
      </w:pPr>
      <w:r>
        <w:rPr>
          <w:rFonts w:hint="eastAsia" w:ascii="微软雅黑" w:hAnsi="微软雅黑" w:eastAsia="微软雅黑"/>
          <w:sz w:val="30"/>
          <w:szCs w:val="30"/>
          <w:highlight w:val="none"/>
          <w:lang w:val="en-US" w:eastAsia="zh-CN"/>
        </w:rPr>
        <w:t>项目填报</w:t>
      </w:r>
    </w:p>
    <w:p>
      <w:pPr>
        <w:ind w:left="0" w:leftChars="0" w:firstLine="420" w:firstLineChars="0"/>
        <w:jc w:val="left"/>
        <w:rPr>
          <w:rFonts w:hint="default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企业上市苗圃工程项目填报包括三部分：申报信息、附件材料和检查并提交。具体页面内容如下：</w:t>
      </w:r>
    </w:p>
    <w:p>
      <w:pPr>
        <w:numPr>
          <w:ilvl w:val="0"/>
          <w:numId w:val="3"/>
        </w:numPr>
        <w:ind w:left="0" w:leftChars="0" w:firstLine="422" w:firstLineChars="175"/>
        <w:outlineLvl w:val="2"/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highlight w:val="none"/>
          <w:lang w:val="en-US" w:eastAsia="zh-CN" w:bidi="ar-SA"/>
        </w:rPr>
        <w:t>申报信息填写</w:t>
      </w:r>
    </w:p>
    <w:p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“申报信息”部分，需企业维护的内容包括基本信息、财务信息、研发情况、核心团队、融资和估值情况、上市规划、需求征集七部分，具体页面如下。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基本信息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4400550" cy="5712460"/>
            <wp:effectExtent l="12700" t="12700" r="25400" b="2794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7"/>
                    <a:srcRect l="2110" r="2411" b="594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71246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财务信息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highlight w:val="none"/>
          <w:lang w:val="en-US" w:eastAsia="zh-CN"/>
        </w:rPr>
      </w:pPr>
      <w:r>
        <w:drawing>
          <wp:inline distT="0" distB="0" distL="114300" distR="114300">
            <wp:extent cx="4569460" cy="2064385"/>
            <wp:effectExtent l="12700" t="12700" r="2794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206438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研发情况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5036820" cy="4365625"/>
            <wp:effectExtent l="12700" t="12700" r="17780" b="1587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9"/>
                    <a:srcRect l="2110" r="2255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436562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核心团队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highlight w:val="none"/>
          <w:lang w:val="en-US" w:eastAsia="zh-CN"/>
        </w:rPr>
      </w:pPr>
      <w:r>
        <w:drawing>
          <wp:inline distT="0" distB="0" distL="114300" distR="114300">
            <wp:extent cx="5272405" cy="2068195"/>
            <wp:effectExtent l="12700" t="12700" r="23495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819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highlight w:val="none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highlight w:val="none"/>
          <w:lang w:val="en-US" w:eastAsia="zh-CN"/>
        </w:rPr>
      </w:pP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融资和估值情况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highlight w:val="none"/>
          <w:lang w:val="en-US" w:eastAsia="zh-CN"/>
        </w:rPr>
      </w:pPr>
      <w:r>
        <w:drawing>
          <wp:inline distT="0" distB="0" distL="114300" distR="114300">
            <wp:extent cx="5267325" cy="3393440"/>
            <wp:effectExtent l="12700" t="12700" r="15875" b="228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344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上市规划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/>
          <w:highlight w:val="none"/>
          <w:lang w:val="en-US" w:eastAsia="zh-CN"/>
        </w:rPr>
      </w:pPr>
      <w:r>
        <w:drawing>
          <wp:inline distT="0" distB="0" distL="114300" distR="114300">
            <wp:extent cx="5268595" cy="2884805"/>
            <wp:effectExtent l="12700" t="12700" r="14605" b="234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480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highlight w:val="none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highlight w:val="none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highlight w:val="none"/>
          <w:lang w:val="en-US" w:eastAsia="zh-CN"/>
        </w:rPr>
      </w:pP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需求征集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5067935" cy="5494655"/>
            <wp:effectExtent l="12700" t="12700" r="24765" b="17145"/>
            <wp:docPr id="11" name="图片 1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"/>
                    <pic:cNvPicPr>
                      <a:picLocks noChangeAspect="1"/>
                    </pic:cNvPicPr>
                  </pic:nvPicPr>
                  <pic:blipFill>
                    <a:blip r:embed="rId23"/>
                    <a:srcRect l="1809" r="1965" b="6353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549465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以上信息维护并检查完毕，企业即可逐步点击页面中“保存并继续”，进入下一模块“附件材料”。</w:t>
      </w:r>
    </w:p>
    <w:p>
      <w:pPr>
        <w:numPr>
          <w:ilvl w:val="0"/>
          <w:numId w:val="3"/>
        </w:numPr>
        <w:ind w:left="0" w:leftChars="0" w:firstLine="422" w:firstLineChars="175"/>
        <w:outlineLvl w:val="2"/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highlight w:val="none"/>
          <w:lang w:val="en-US" w:eastAsia="zh-CN" w:bidi="ar-SA"/>
        </w:rPr>
        <w:t>附件材料上传</w:t>
      </w:r>
    </w:p>
    <w:p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企业根据页面中附件材料要求，对应上传附件材料。</w:t>
      </w:r>
    </w:p>
    <w:p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上传完成后，企业即可点击页面中“保存并继续”，进入下一模块“检查并提交”。</w:t>
      </w:r>
    </w:p>
    <w:p>
      <w:pPr>
        <w:numPr>
          <w:ilvl w:val="0"/>
          <w:numId w:val="0"/>
        </w:numPr>
        <w:rPr>
          <w:rFonts w:hint="eastAsia"/>
          <w:highlight w:val="yellow"/>
          <w:lang w:val="en-US" w:eastAsia="zh-CN"/>
        </w:rPr>
      </w:pPr>
      <w:r>
        <w:drawing>
          <wp:inline distT="0" distB="0" distL="114300" distR="114300">
            <wp:extent cx="5272405" cy="2870835"/>
            <wp:effectExtent l="12700" t="12700" r="23495" b="2476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083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22" w:firstLineChars="175"/>
        <w:outlineLvl w:val="2"/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highlight w:val="none"/>
          <w:lang w:val="en-US" w:eastAsia="zh-CN" w:bidi="ar-SA"/>
        </w:rPr>
        <w:t>检查并提交</w:t>
      </w:r>
    </w:p>
    <w:p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系统对前面填写的两部分进行检查，若均已完成系统将给予检测并提示，并允许提交；若有任一模块未通过检测则需完善后方可提交。</w:t>
      </w:r>
    </w:p>
    <w:p>
      <w:pPr>
        <w:bidi w:val="0"/>
        <w:ind w:left="0" w:leftChars="0" w:firstLine="0" w:firstLineChars="0"/>
        <w:rPr>
          <w:rFonts w:hint="default"/>
          <w:highlight w:val="yellow"/>
          <w:lang w:val="en-US" w:eastAsia="zh-CN"/>
        </w:rPr>
      </w:pPr>
      <w:r>
        <w:drawing>
          <wp:inline distT="0" distB="0" distL="114300" distR="114300">
            <wp:extent cx="5265420" cy="2997200"/>
            <wp:effectExtent l="12700" t="12700" r="17780" b="1270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720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黑体" w:hAnsi="黑体" w:eastAsia="黑体" w:cs="黑体"/>
          <w:sz w:val="30"/>
          <w:szCs w:val="30"/>
          <w:highlight w:val="none"/>
        </w:rPr>
      </w:pPr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历史记录查看</w:t>
      </w:r>
    </w:p>
    <w:p>
      <w:pPr>
        <w:ind w:left="0" w:leftChars="0" w:firstLine="420" w:firstLineChars="0"/>
        <w:jc w:val="left"/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企业将项目申报信息提交后，可在</w:t>
      </w:r>
      <w:r>
        <w:rPr>
          <w:rFonts w:hint="eastAsia" w:asciiTheme="minorEastAsia" w:hAnsiTheme="minorEastAsia" w:cstheme="minorEastAsia"/>
          <w:highlight w:val="none"/>
          <w:lang w:val="en-US" w:eastAsia="zh-CN"/>
        </w:rPr>
        <w:t>2019年企业上市苗圃工程项目申报首页点击页面中“历史记录”进入查看已提交的申报信息，并关注申报记录的审核进展。</w:t>
      </w:r>
    </w:p>
    <w:p>
      <w:pPr>
        <w:ind w:left="0" w:leftChars="0" w:firstLine="420" w:firstLineChars="0"/>
        <w:jc w:val="left"/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若审核退回，可在列表中点击“详情”查看退回原因，再点击“编辑”，并根据退回原因修改后重新提交。</w:t>
      </w:r>
    </w:p>
    <w:p>
      <w:pPr>
        <w:ind w:left="0" w:leftChars="0" w:firstLine="0" w:firstLineChars="0"/>
        <w:jc w:val="left"/>
        <w:rPr>
          <w:highlight w:val="yellow"/>
        </w:rPr>
      </w:pPr>
      <w:r>
        <w:drawing>
          <wp:inline distT="0" distB="0" distL="114300" distR="114300">
            <wp:extent cx="5263515" cy="1560830"/>
            <wp:effectExtent l="12700" t="12700" r="19685" b="1397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6083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highlight w:val="yellow"/>
          <w:lang w:val="en-US" w:eastAsia="zh-CN"/>
        </w:rPr>
      </w:pPr>
      <w:r>
        <w:drawing>
          <wp:inline distT="0" distB="0" distL="114300" distR="114300">
            <wp:extent cx="5269865" cy="2403475"/>
            <wp:effectExtent l="12700" t="12700" r="13335" b="2222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347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黑体" w:hAnsi="黑体" w:eastAsia="黑体" w:cs="黑体"/>
          <w:sz w:val="30"/>
          <w:szCs w:val="30"/>
          <w:highlight w:val="none"/>
        </w:rPr>
      </w:pPr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项目申报书导出</w:t>
      </w:r>
    </w:p>
    <w:p>
      <w:pPr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申报项目审核通过后，企业可在</w:t>
      </w:r>
      <w:r>
        <w:rPr>
          <w:rFonts w:hint="eastAsia" w:asciiTheme="minorEastAsia" w:hAnsiTheme="minorEastAsia" w:cstheme="minorEastAsia"/>
          <w:highlight w:val="none"/>
          <w:lang w:val="en-US" w:eastAsia="zh-CN"/>
        </w:rPr>
        <w:t>“历史记录”列表中“详情”进入；在详情页面中点击“导出”，即可导出申报书及相关材料，线下进行打印胶装。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4150" cy="2411730"/>
            <wp:effectExtent l="12700" t="12700" r="19050" b="1397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173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727450" cy="5232400"/>
            <wp:effectExtent l="12700" t="12700" r="19050" b="1270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523240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hint="eastAsia" w:ascii="黑体" w:hAnsi="黑体" w:eastAsia="黑体" w:cs="黑体"/>
          <w:sz w:val="30"/>
          <w:szCs w:val="30"/>
          <w:highlight w:val="none"/>
        </w:rPr>
      </w:pPr>
      <w:r>
        <w:rPr>
          <w:rFonts w:hint="eastAsia" w:ascii="黑体" w:hAnsi="黑体" w:eastAsia="黑体" w:cs="黑体"/>
          <w:sz w:val="30"/>
          <w:szCs w:val="30"/>
          <w:highlight w:val="none"/>
        </w:rPr>
        <w:t>系统技术支持</w:t>
      </w:r>
    </w:p>
    <w:p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开发单位：苏州德融嘉信信用管理技术股份有限公司</w:t>
      </w:r>
    </w:p>
    <w:p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邮箱：</w:t>
      </w:r>
      <w:r>
        <w:rPr>
          <w:rFonts w:hint="eastAsia"/>
          <w:highlight w:val="none"/>
          <w:lang w:val="en-US" w:eastAsia="zh-CN"/>
        </w:rPr>
        <w:fldChar w:fldCharType="begin"/>
      </w:r>
      <w:r>
        <w:rPr>
          <w:rFonts w:hint="eastAsia"/>
          <w:highlight w:val="none"/>
          <w:lang w:val="en-US" w:eastAsia="zh-CN"/>
        </w:rPr>
        <w:instrText xml:space="preserve"> HYPERLINK "mailto:techsoft@sipac.gov.cn" </w:instrText>
      </w:r>
      <w:r>
        <w:rPr>
          <w:rFonts w:hint="eastAsia"/>
          <w:highlight w:val="none"/>
          <w:lang w:val="en-US" w:eastAsia="zh-CN"/>
        </w:rPr>
        <w:fldChar w:fldCharType="separate"/>
      </w:r>
      <w:r>
        <w:rPr>
          <w:rFonts w:hint="eastAsia"/>
          <w:highlight w:val="none"/>
          <w:lang w:val="en-US" w:eastAsia="zh-CN"/>
        </w:rPr>
        <w:t>techsoft@sipac.gov.cn</w:t>
      </w:r>
      <w:r>
        <w:rPr>
          <w:rFonts w:hint="eastAsia"/>
          <w:highlight w:val="none"/>
          <w:lang w:val="en-US" w:eastAsia="zh-CN"/>
        </w:rPr>
        <w:fldChar w:fldCharType="end"/>
      </w:r>
    </w:p>
    <w:p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电话：400-8696086</w:t>
      </w:r>
    </w:p>
    <w:p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技术支持QQ：2967266691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970FC7"/>
    <w:multiLevelType w:val="singleLevel"/>
    <w:tmpl w:val="85970FC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F9D0DE4"/>
    <w:multiLevelType w:val="singleLevel"/>
    <w:tmpl w:val="EF9D0DE4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8812EEE"/>
    <w:multiLevelType w:val="singleLevel"/>
    <w:tmpl w:val="58812EEE"/>
    <w:lvl w:ilvl="0" w:tentative="0">
      <w:start w:val="1"/>
      <w:numFmt w:val="chineseCounting"/>
      <w:suff w:val="nothing"/>
      <w:lvlText w:val="%1、"/>
      <w:lvlJc w:val="left"/>
    </w:lvl>
  </w:abstractNum>
  <w:abstractNum w:abstractNumId="3">
    <w:nsid w:val="7C49D1D1"/>
    <w:multiLevelType w:val="singleLevel"/>
    <w:tmpl w:val="7C49D1D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3C3"/>
    <w:rsid w:val="00015CBE"/>
    <w:rsid w:val="00063A54"/>
    <w:rsid w:val="000777B4"/>
    <w:rsid w:val="000C4A71"/>
    <w:rsid w:val="001545DC"/>
    <w:rsid w:val="00181CBF"/>
    <w:rsid w:val="00191408"/>
    <w:rsid w:val="00224CF6"/>
    <w:rsid w:val="00290D0C"/>
    <w:rsid w:val="002B5E49"/>
    <w:rsid w:val="002F4005"/>
    <w:rsid w:val="00325004"/>
    <w:rsid w:val="00333CE6"/>
    <w:rsid w:val="003E6E5F"/>
    <w:rsid w:val="004976BA"/>
    <w:rsid w:val="004B396A"/>
    <w:rsid w:val="00570BEB"/>
    <w:rsid w:val="005952F6"/>
    <w:rsid w:val="00630D66"/>
    <w:rsid w:val="00642C1B"/>
    <w:rsid w:val="00816AB6"/>
    <w:rsid w:val="00843E59"/>
    <w:rsid w:val="008650F6"/>
    <w:rsid w:val="008848ED"/>
    <w:rsid w:val="00901279"/>
    <w:rsid w:val="00965940"/>
    <w:rsid w:val="009F6976"/>
    <w:rsid w:val="00A8412A"/>
    <w:rsid w:val="00B61D40"/>
    <w:rsid w:val="00BF1BE6"/>
    <w:rsid w:val="00C63654"/>
    <w:rsid w:val="00C7736F"/>
    <w:rsid w:val="00CA4F9C"/>
    <w:rsid w:val="00CC627D"/>
    <w:rsid w:val="00D22A9A"/>
    <w:rsid w:val="00DA29C2"/>
    <w:rsid w:val="00DD13C3"/>
    <w:rsid w:val="00E92C19"/>
    <w:rsid w:val="00EE7DA3"/>
    <w:rsid w:val="00F061B2"/>
    <w:rsid w:val="00F63AF2"/>
    <w:rsid w:val="00FA4E4F"/>
    <w:rsid w:val="00FB5EDC"/>
    <w:rsid w:val="01AF5E07"/>
    <w:rsid w:val="01CD5B3D"/>
    <w:rsid w:val="0554165F"/>
    <w:rsid w:val="061933FF"/>
    <w:rsid w:val="089A13BB"/>
    <w:rsid w:val="0A8A6104"/>
    <w:rsid w:val="0CA3243C"/>
    <w:rsid w:val="0CAD2208"/>
    <w:rsid w:val="0F5E466D"/>
    <w:rsid w:val="10BC1015"/>
    <w:rsid w:val="13E04ACD"/>
    <w:rsid w:val="14705EB0"/>
    <w:rsid w:val="1494277D"/>
    <w:rsid w:val="1609514D"/>
    <w:rsid w:val="172F211D"/>
    <w:rsid w:val="17842AFB"/>
    <w:rsid w:val="18211790"/>
    <w:rsid w:val="187127DC"/>
    <w:rsid w:val="187C1CF4"/>
    <w:rsid w:val="18D76671"/>
    <w:rsid w:val="19566C62"/>
    <w:rsid w:val="1AD74C9B"/>
    <w:rsid w:val="1C581E49"/>
    <w:rsid w:val="1E1B306E"/>
    <w:rsid w:val="1FE41856"/>
    <w:rsid w:val="20F3000D"/>
    <w:rsid w:val="225F7CDE"/>
    <w:rsid w:val="233F7644"/>
    <w:rsid w:val="2359203D"/>
    <w:rsid w:val="24D43CD2"/>
    <w:rsid w:val="256C73E4"/>
    <w:rsid w:val="26315037"/>
    <w:rsid w:val="267548A9"/>
    <w:rsid w:val="268463BE"/>
    <w:rsid w:val="27C25C27"/>
    <w:rsid w:val="28330D1C"/>
    <w:rsid w:val="28866F0E"/>
    <w:rsid w:val="28A4511E"/>
    <w:rsid w:val="298B6EAD"/>
    <w:rsid w:val="29C70DBD"/>
    <w:rsid w:val="29D26762"/>
    <w:rsid w:val="2B3A7930"/>
    <w:rsid w:val="2B656733"/>
    <w:rsid w:val="2BEE0569"/>
    <w:rsid w:val="2CFB0D9E"/>
    <w:rsid w:val="2D9307B6"/>
    <w:rsid w:val="2E1B4CCF"/>
    <w:rsid w:val="2F114FF1"/>
    <w:rsid w:val="313A07C7"/>
    <w:rsid w:val="314D6B50"/>
    <w:rsid w:val="315967EB"/>
    <w:rsid w:val="31EC2EDF"/>
    <w:rsid w:val="32B809A6"/>
    <w:rsid w:val="34B1127C"/>
    <w:rsid w:val="36402938"/>
    <w:rsid w:val="36D61A9C"/>
    <w:rsid w:val="377B0021"/>
    <w:rsid w:val="37DA7F4F"/>
    <w:rsid w:val="37E11217"/>
    <w:rsid w:val="386C7B22"/>
    <w:rsid w:val="38E41D16"/>
    <w:rsid w:val="39935D14"/>
    <w:rsid w:val="3A3E6876"/>
    <w:rsid w:val="3A551186"/>
    <w:rsid w:val="3D654563"/>
    <w:rsid w:val="3DAF587A"/>
    <w:rsid w:val="3E6C738F"/>
    <w:rsid w:val="400D01BE"/>
    <w:rsid w:val="406F42D7"/>
    <w:rsid w:val="40F65EAE"/>
    <w:rsid w:val="41860489"/>
    <w:rsid w:val="41AD08C4"/>
    <w:rsid w:val="43122C92"/>
    <w:rsid w:val="45020A67"/>
    <w:rsid w:val="45080D43"/>
    <w:rsid w:val="457D0A07"/>
    <w:rsid w:val="46874DFE"/>
    <w:rsid w:val="47C513BA"/>
    <w:rsid w:val="47D464C3"/>
    <w:rsid w:val="48E608BA"/>
    <w:rsid w:val="49330868"/>
    <w:rsid w:val="4A374CE4"/>
    <w:rsid w:val="4A5B48BE"/>
    <w:rsid w:val="4AB7536D"/>
    <w:rsid w:val="4AE456B0"/>
    <w:rsid w:val="4AFD69C7"/>
    <w:rsid w:val="4B7539D3"/>
    <w:rsid w:val="4E0B25F8"/>
    <w:rsid w:val="505D4FEB"/>
    <w:rsid w:val="50A338C0"/>
    <w:rsid w:val="518E7197"/>
    <w:rsid w:val="57637C5C"/>
    <w:rsid w:val="579F2037"/>
    <w:rsid w:val="57FD2530"/>
    <w:rsid w:val="585D506B"/>
    <w:rsid w:val="587E6C17"/>
    <w:rsid w:val="5890341D"/>
    <w:rsid w:val="58D427AA"/>
    <w:rsid w:val="5BB74451"/>
    <w:rsid w:val="5E014A97"/>
    <w:rsid w:val="5F063EBC"/>
    <w:rsid w:val="5F5C75CE"/>
    <w:rsid w:val="605E72EC"/>
    <w:rsid w:val="60AD7662"/>
    <w:rsid w:val="60B865BB"/>
    <w:rsid w:val="611C60CA"/>
    <w:rsid w:val="61CA4EB4"/>
    <w:rsid w:val="63605E1C"/>
    <w:rsid w:val="64D56156"/>
    <w:rsid w:val="65206C73"/>
    <w:rsid w:val="66D92367"/>
    <w:rsid w:val="684F610D"/>
    <w:rsid w:val="68711FAF"/>
    <w:rsid w:val="69350893"/>
    <w:rsid w:val="69BC0DD9"/>
    <w:rsid w:val="6C73326B"/>
    <w:rsid w:val="6D2E5F5D"/>
    <w:rsid w:val="6F5D771C"/>
    <w:rsid w:val="72410792"/>
    <w:rsid w:val="72B91388"/>
    <w:rsid w:val="72BC6DC5"/>
    <w:rsid w:val="73D669C1"/>
    <w:rsid w:val="741C24B4"/>
    <w:rsid w:val="7628590D"/>
    <w:rsid w:val="77B953A6"/>
    <w:rsid w:val="79E707C9"/>
    <w:rsid w:val="79FF4A76"/>
    <w:rsid w:val="7A517C84"/>
    <w:rsid w:val="7AF82B7F"/>
    <w:rsid w:val="7BDF2782"/>
    <w:rsid w:val="7CD0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after="330" w:afterLines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uiPriority w:val="99"/>
    <w:pPr>
      <w:spacing w:before="0" w:after="0" w:line="240" w:lineRule="auto"/>
    </w:pPr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2">
    <w:name w:val="列出段落1"/>
    <w:basedOn w:val="1"/>
    <w:qFormat/>
    <w:uiPriority w:val="34"/>
    <w:pPr>
      <w:ind w:firstLine="420"/>
    </w:pPr>
  </w:style>
  <w:style w:type="paragraph" w:styleId="13">
    <w:name w:val="List Paragraph"/>
    <w:basedOn w:val="1"/>
    <w:qFormat/>
    <w:uiPriority w:val="34"/>
    <w:pPr>
      <w:ind w:firstLine="420"/>
    </w:pPr>
  </w:style>
  <w:style w:type="character" w:customStyle="1" w:styleId="14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6">
    <w:name w:val="批注框文本 字符"/>
    <w:basedOn w:val="9"/>
    <w:link w:val="5"/>
    <w:semiHidden/>
    <w:qFormat/>
    <w:uiPriority w:val="99"/>
    <w:rPr>
      <w:kern w:val="2"/>
      <w:sz w:val="18"/>
      <w:szCs w:val="18"/>
    </w:rPr>
  </w:style>
  <w:style w:type="character" w:customStyle="1" w:styleId="17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241</Words>
  <Characters>1380</Characters>
  <Lines>11</Lines>
  <Paragraphs>3</Paragraphs>
  <TotalTime>3</TotalTime>
  <ScaleCrop>false</ScaleCrop>
  <LinksUpToDate>false</LinksUpToDate>
  <CharactersWithSpaces>1618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2018-01-18T08:47:00Z</dcterms:created>
  <dc:creator>hongyalan</dc:creator>
  <cp:lastModifiedBy>苏九如</cp:lastModifiedBy>
  <dcterms:modified xsi:type="dcterms:W3CDTF">2020-08-12T02:04:58Z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