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_GBK" w:hAnsi="Calibri" w:eastAsia="方正小标宋_GBK" w:cs="方正小标宋_GBK"/>
          <w:sz w:val="36"/>
          <w:szCs w:val="36"/>
        </w:rPr>
      </w:pPr>
      <w:r>
        <w:rPr>
          <w:rFonts w:hint="eastAsia" w:ascii="方正小标宋_GBK" w:hAnsi="Calibri" w:eastAsia="方正小标宋_GBK" w:cs="方正小标宋_GBK"/>
          <w:sz w:val="36"/>
          <w:szCs w:val="36"/>
        </w:rPr>
        <w:t>附件</w:t>
      </w:r>
    </w:p>
    <w:p>
      <w:pPr>
        <w:jc w:val="center"/>
        <w:rPr>
          <w:rFonts w:ascii="仿宋_GB2312" w:hAnsi="仿宋_GB2312" w:eastAsia="仿宋_GB2312" w:cs="仿宋_GB2312"/>
          <w:sz w:val="32"/>
          <w:szCs w:val="32"/>
        </w:rPr>
      </w:pPr>
      <w:r>
        <w:rPr>
          <w:rFonts w:hint="eastAsia" w:ascii="方正小标宋_GBK" w:hAnsi="Calibri" w:eastAsia="方正小标宋_GBK" w:cs="方正小标宋_GBK"/>
          <w:sz w:val="36"/>
          <w:szCs w:val="36"/>
        </w:rPr>
        <w:t>苏州工业园区商贸电商引导资金申报指南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根据《关于促进服务业高质量跨越发展的若干意见》（苏园管〔2019〕82号）要求，现组织</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年苏州工业园区商贸电商引导资金项目申报。</w:t>
      </w:r>
    </w:p>
    <w:p>
      <w:pPr>
        <w:ind w:firstLine="640" w:firstLineChars="200"/>
        <w:rPr>
          <w:rFonts w:ascii="黑体" w:hAnsi="黑体" w:eastAsia="黑体" w:cs="黑体"/>
          <w:sz w:val="32"/>
          <w:szCs w:val="40"/>
        </w:rPr>
      </w:pPr>
      <w:r>
        <w:rPr>
          <w:rFonts w:hint="eastAsia" w:ascii="黑体" w:hAnsi="黑体" w:eastAsia="黑体" w:cs="黑体"/>
          <w:sz w:val="32"/>
          <w:szCs w:val="40"/>
        </w:rPr>
        <w:t>一、申报范围：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40"/>
        </w:rPr>
        <w:t>申报单位</w:t>
      </w:r>
      <w:r>
        <w:rPr>
          <w:rFonts w:hint="eastAsia" w:ascii="仿宋_GB2312" w:hAnsi="仿宋_GB2312" w:eastAsia="仿宋_GB2312" w:cs="仿宋_GB2312"/>
          <w:sz w:val="32"/>
          <w:szCs w:val="32"/>
        </w:rPr>
        <w:t>必须是在园区注册成立的独立法人或符合条件的分公司，符合园区规划的商贸电商发展方向，合法合规经营，资源集约利用水平较高，近三年内无严重失信行为。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2、依法诚信经营，近三年内无严重失信行为。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3、享受本细则租金补贴的企业，在五年内不得转让或出租。</w:t>
      </w:r>
      <w:r>
        <w:rPr>
          <w:rFonts w:ascii="仿宋_GB2312" w:hAnsi="仿宋_GB2312" w:eastAsia="仿宋_GB2312" w:cs="仿宋_GB2312"/>
          <w:sz w:val="32"/>
          <w:szCs w:val="32"/>
        </w:rPr>
        <w:t xml:space="preserve"> </w:t>
      </w:r>
    </w:p>
    <w:p>
      <w:pPr>
        <w:ind w:firstLine="640" w:firstLineChars="200"/>
        <w:rPr>
          <w:rFonts w:ascii="黑体" w:hAnsi="黑体" w:eastAsia="黑体" w:cs="黑体"/>
          <w:sz w:val="32"/>
          <w:szCs w:val="40"/>
        </w:rPr>
      </w:pPr>
      <w:r>
        <w:rPr>
          <w:rFonts w:hint="eastAsia" w:ascii="黑体" w:hAnsi="黑体" w:eastAsia="黑体" w:cs="黑体"/>
          <w:sz w:val="32"/>
          <w:szCs w:val="40"/>
        </w:rPr>
        <w:t>二、申报类别</w:t>
      </w:r>
    </w:p>
    <w:p>
      <w:pPr>
        <w:ind w:firstLine="640" w:firstLineChars="200"/>
        <w:rPr>
          <w:rFonts w:ascii="黑体" w:hAnsi="黑体" w:eastAsia="黑体" w:cs="黑体"/>
          <w:sz w:val="32"/>
          <w:szCs w:val="40"/>
        </w:rPr>
      </w:pPr>
      <w:r>
        <w:rPr>
          <w:rFonts w:hint="eastAsia" w:ascii="黑体" w:hAnsi="黑体" w:eastAsia="黑体" w:cs="黑体"/>
          <w:sz w:val="32"/>
          <w:szCs w:val="40"/>
        </w:rPr>
        <w:t>01、商贸企业经营奖励</w:t>
      </w:r>
    </w:p>
    <w:p>
      <w:pPr>
        <w:ind w:firstLine="640" w:firstLineChars="200"/>
        <w:rPr>
          <w:rFonts w:ascii="黑体" w:hAnsi="黑体" w:eastAsia="黑体" w:cs="黑体"/>
          <w:sz w:val="32"/>
          <w:szCs w:val="40"/>
        </w:rPr>
      </w:pPr>
      <w:r>
        <w:rPr>
          <w:rFonts w:hint="eastAsia" w:ascii="黑体" w:hAnsi="黑体" w:eastAsia="黑体" w:cs="黑体"/>
          <w:sz w:val="32"/>
          <w:szCs w:val="40"/>
        </w:rPr>
        <w:t>（一）申报要求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需符合以下条件之一：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年销售额20亿元（含）以上且同比增长15%（含）以上的限上入库批发企业。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年销售额10亿元（含）以上且同比增长 10%（含）以上的限上入库零售企业。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年销售额 5000 万元（含）以上且同比增长 10%（含）以上的限上入库餐饮企业。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4、连锁商贸品牌在区内结算且</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年销售额达到20亿元（含）以上。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年批发、零售、餐饮企业年度销售额分别同比增加100%、25%、50%（含）以上。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年商业综合体通过新引入独立法人商户或引导分公司变更为独立法人等方式培育商贸业限上入库企业。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注：条件1-4与条件5同时符合的，请企业择高申报。</w:t>
      </w:r>
      <w:r>
        <w:rPr>
          <w:rFonts w:hint="eastAsia" w:ascii="仿宋_GB2312" w:hAnsi="仿宋_GB2312" w:eastAsia="仿宋_GB2312" w:cs="仿宋_GB2312"/>
          <w:bCs/>
          <w:sz w:val="32"/>
          <w:szCs w:val="32"/>
        </w:rPr>
        <w:t>限上入库</w:t>
      </w:r>
      <w:r>
        <w:rPr>
          <w:rFonts w:hint="eastAsia" w:ascii="仿宋_GB2312" w:hAnsi="仿宋_GB2312" w:eastAsia="仿宋_GB2312" w:cs="仿宋_GB2312"/>
          <w:sz w:val="32"/>
          <w:szCs w:val="32"/>
        </w:rPr>
        <w:t>指的是限额以上纳入服务业统计库。</w:t>
      </w:r>
    </w:p>
    <w:p>
      <w:pPr>
        <w:ind w:firstLine="640" w:firstLineChars="200"/>
        <w:rPr>
          <w:rFonts w:ascii="黑体" w:hAnsi="黑体" w:eastAsia="黑体" w:cs="黑体"/>
          <w:sz w:val="32"/>
          <w:szCs w:val="40"/>
        </w:rPr>
      </w:pPr>
      <w:r>
        <w:rPr>
          <w:rFonts w:hint="eastAsia" w:ascii="黑体" w:hAnsi="黑体" w:eastAsia="黑体" w:cs="黑体"/>
          <w:sz w:val="32"/>
          <w:szCs w:val="40"/>
        </w:rPr>
        <w:t>（二）扶持政策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1、对符合条件1-5的企业按照批发、零售、餐饮、连锁商贸品牌等不同类型分别给予20万元、15万元、10万元、20万元、8万元的奖励，企业可根据实际情况用于高管团队奖励。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2、对符合条件6的商业综合体，每培育一家入库独立法人企业给予5万元奖励，最高不超过20万元。</w:t>
      </w:r>
    </w:p>
    <w:p>
      <w:pPr>
        <w:ind w:firstLine="640" w:firstLineChars="200"/>
        <w:rPr>
          <w:rFonts w:ascii="黑体" w:hAnsi="黑体" w:eastAsia="黑体" w:cs="黑体"/>
          <w:sz w:val="32"/>
          <w:szCs w:val="40"/>
        </w:rPr>
      </w:pPr>
      <w:r>
        <w:rPr>
          <w:rFonts w:hint="eastAsia" w:ascii="黑体" w:hAnsi="黑体" w:eastAsia="黑体" w:cs="黑体"/>
          <w:sz w:val="32"/>
          <w:szCs w:val="40"/>
        </w:rPr>
        <w:t>（三）申报材料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1、申报条件1-5的企业需提供营业执照、20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年度财务报告（经第三方审计或由纳税系统导出的财务年报）。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2、申报条件6的商业综合体需提供</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年度财务报告（经第三方审计或由纳税系统导出的财务年报）、企业营业执照、新引入商户租赁合同或协议、商户营业执照、商户</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年度财务报告（经第三方审计或由纳税系统导出的财务年报）。</w:t>
      </w:r>
    </w:p>
    <w:p>
      <w:pPr>
        <w:ind w:firstLine="640" w:firstLineChars="200"/>
        <w:rPr>
          <w:rFonts w:ascii="黑体" w:hAnsi="黑体" w:eastAsia="黑体" w:cs="黑体"/>
          <w:sz w:val="32"/>
          <w:szCs w:val="40"/>
        </w:rPr>
      </w:pPr>
      <w:r>
        <w:rPr>
          <w:rFonts w:hint="eastAsia" w:ascii="黑体" w:hAnsi="黑体" w:eastAsia="黑体" w:cs="黑体"/>
          <w:sz w:val="32"/>
          <w:szCs w:val="40"/>
        </w:rPr>
        <w:t>02、品牌建设奖励</w:t>
      </w:r>
    </w:p>
    <w:p>
      <w:pPr>
        <w:ind w:firstLine="640" w:firstLineChars="200"/>
        <w:rPr>
          <w:rFonts w:ascii="黑体" w:hAnsi="黑体" w:eastAsia="黑体" w:cs="黑体"/>
          <w:sz w:val="32"/>
          <w:szCs w:val="40"/>
        </w:rPr>
      </w:pPr>
      <w:r>
        <w:rPr>
          <w:rFonts w:hint="eastAsia" w:ascii="黑体" w:hAnsi="黑体" w:eastAsia="黑体" w:cs="黑体"/>
          <w:sz w:val="32"/>
          <w:szCs w:val="40"/>
        </w:rPr>
        <w:t>（一）申报要求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sz w:val="32"/>
          <w:szCs w:val="32"/>
        </w:rPr>
        <w:t>品牌首店：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国内外知名零售和餐饮知名企业近三年内（201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年至今）开设</w:t>
      </w:r>
      <w:r>
        <w:rPr>
          <w:rFonts w:hint="eastAsia" w:ascii="仿宋_GB2312" w:hAnsi="仿宋_GB2312" w:eastAsia="仿宋_GB2312" w:cs="仿宋_GB2312"/>
          <w:b/>
          <w:sz w:val="32"/>
          <w:szCs w:val="32"/>
        </w:rPr>
        <w:t>亚洲首店、中国（内地）首店、华东首店、苏州首店</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1）已开业且经营面积达到 200 平方米，年度营业收入达到500万元（含）以上的品牌零售首店。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2）开业且经营面积达到 100 平方米，年度营业收入达到200万元（含）以上的品牌餐饮首店。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sz w:val="32"/>
          <w:szCs w:val="32"/>
        </w:rPr>
        <w:t>、运营主体引进品牌：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1）商业综合体或街区（5万平方米以上）运营管理机构近三年内引进高端商业品牌，开设首店</w:t>
      </w:r>
      <w:r>
        <w:rPr>
          <w:rFonts w:hint="eastAsia" w:ascii="仿宋_GB2312" w:hAnsi="仿宋_GB2312" w:eastAsia="仿宋_GB2312" w:cs="仿宋_GB2312"/>
          <w:sz w:val="32"/>
          <w:szCs w:val="32"/>
          <w:lang w:eastAsia="zh-CN"/>
        </w:rPr>
        <w:t>（含园区</w:t>
      </w:r>
      <w:bookmarkStart w:id="0" w:name="_GoBack"/>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并签订 2 年以上入驻协议。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2）工业集聚区内配套商业运营管理方引入高品质品牌餐饮商户，品牌商户</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年营业收入达到300万元，签订2年以上入驻协议。</w:t>
      </w:r>
    </w:p>
    <w:p>
      <w:pPr>
        <w:ind w:firstLine="420"/>
        <w:rPr>
          <w:rFonts w:ascii="仿宋_GB2312" w:hAnsi="仿宋_GB2312" w:eastAsia="仿宋_GB2312" w:cs="仿宋_GB2312"/>
          <w:sz w:val="32"/>
          <w:szCs w:val="32"/>
        </w:rPr>
      </w:pPr>
      <w:r>
        <w:rPr>
          <w:rFonts w:hint="eastAsia" w:ascii="仿宋_GB2312" w:hAnsi="仿宋_GB2312" w:eastAsia="仿宋_GB2312" w:cs="仿宋_GB2312"/>
          <w:b/>
          <w:sz w:val="32"/>
          <w:szCs w:val="32"/>
        </w:rPr>
        <w:t>3、运营主体资质认定奖励：</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年新获得或已获得市级以上“高品位步行街”、“特色商业街”、“老字号”称号。</w:t>
      </w:r>
    </w:p>
    <w:p>
      <w:pPr>
        <w:ind w:firstLine="420"/>
        <w:rPr>
          <w:rFonts w:ascii="仿宋_GB2312" w:hAnsi="仿宋_GB2312" w:eastAsia="仿宋_GB2312" w:cs="仿宋_GB2312"/>
          <w:sz w:val="32"/>
          <w:szCs w:val="32"/>
        </w:rPr>
      </w:pPr>
      <w:r>
        <w:rPr>
          <w:rFonts w:hint="eastAsia" w:ascii="仿宋_GB2312" w:hAnsi="仿宋_GB2312" w:eastAsia="仿宋_GB2312" w:cs="仿宋_GB2312"/>
          <w:b/>
          <w:sz w:val="32"/>
          <w:szCs w:val="32"/>
        </w:rPr>
        <w:t>4、商贸行业活动补贴：</w:t>
      </w:r>
      <w:r>
        <w:rPr>
          <w:rFonts w:hint="eastAsia" w:ascii="仿宋_GB2312" w:hAnsi="仿宋_GB2312" w:eastAsia="仿宋_GB2312" w:cs="仿宋_GB2312"/>
          <w:sz w:val="32"/>
          <w:szCs w:val="32"/>
        </w:rPr>
        <w:t>商贸行业协会</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年举办打造园区独特品牌的商贸宣传推介或商业论坛活动。</w:t>
      </w:r>
    </w:p>
    <w:p>
      <w:pPr>
        <w:ind w:firstLine="640" w:firstLineChars="200"/>
        <w:rPr>
          <w:rFonts w:ascii="黑体" w:hAnsi="黑体" w:eastAsia="黑体" w:cs="黑体"/>
          <w:sz w:val="32"/>
          <w:szCs w:val="40"/>
        </w:rPr>
      </w:pPr>
      <w:r>
        <w:rPr>
          <w:rFonts w:hint="eastAsia" w:ascii="黑体" w:hAnsi="黑体" w:eastAsia="黑体" w:cs="黑体"/>
          <w:sz w:val="32"/>
          <w:szCs w:val="40"/>
        </w:rPr>
        <w:t>（二）扶持政策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sz w:val="32"/>
          <w:szCs w:val="32"/>
        </w:rPr>
        <w:t>品牌首店奖励</w:t>
      </w:r>
      <w:r>
        <w:rPr>
          <w:rFonts w:hint="eastAsia" w:ascii="仿宋_GB2312" w:hAnsi="仿宋_GB2312" w:eastAsia="仿宋_GB2312" w:cs="仿宋_GB2312"/>
          <w:sz w:val="32"/>
          <w:szCs w:val="32"/>
        </w:rPr>
        <w:t>：对经认定的品牌零售和餐饮首店，按照营业收入排名，位居区内前五名的给予最高不超过20万元的奖励；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sz w:val="32"/>
          <w:szCs w:val="32"/>
        </w:rPr>
        <w:t>运营主体引进品牌奖励</w:t>
      </w:r>
      <w:r>
        <w:rPr>
          <w:rFonts w:hint="eastAsia" w:ascii="仿宋_GB2312" w:hAnsi="仿宋_GB2312" w:eastAsia="仿宋_GB2312" w:cs="仿宋_GB2312"/>
          <w:sz w:val="32"/>
          <w:szCs w:val="32"/>
        </w:rPr>
        <w:t>：对经认定的对商业综合体或街区，每新引进一个国际品牌首店给予10万元奖励，最高不超过50 万元；对经认定新引进一个国内顶级品牌首店给予8万元奖励，最高不超过40 万元。对经认定的工业集聚区内配套商业运营管理方给予一次性5万元奖励。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sz w:val="32"/>
          <w:szCs w:val="32"/>
        </w:rPr>
        <w:t>运营主体资质认定奖励</w:t>
      </w:r>
      <w:r>
        <w:rPr>
          <w:rFonts w:hint="eastAsia" w:ascii="仿宋_GB2312" w:hAnsi="仿宋_GB2312" w:eastAsia="仿宋_GB2312" w:cs="仿宋_GB2312"/>
          <w:sz w:val="32"/>
          <w:szCs w:val="32"/>
        </w:rPr>
        <w:t>：对符合条件的，按照新获得“高品位步行街”、“特色商业街”、“老字号”荣誉称号的不同类别分别给予10万元、8万元、10万元的一次性奖励。已获得过以上称号的给予5万元的持续提升改造奖励。（本条款就高不重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
          <w:sz w:val="32"/>
          <w:szCs w:val="32"/>
        </w:rPr>
        <w:t>商贸行业活动补贴：</w:t>
      </w:r>
      <w:r>
        <w:rPr>
          <w:rFonts w:hint="eastAsia" w:ascii="仿宋_GB2312" w:hAnsi="仿宋_GB2312" w:eastAsia="仿宋_GB2312" w:cs="仿宋_GB2312"/>
          <w:sz w:val="32"/>
          <w:szCs w:val="32"/>
        </w:rPr>
        <w:t>对符合条件的活动或项目，经认定，每个给予最高不超过30万元的资金支持。</w:t>
      </w:r>
    </w:p>
    <w:p>
      <w:pPr>
        <w:ind w:firstLine="640" w:firstLineChars="200"/>
        <w:rPr>
          <w:rFonts w:ascii="黑体" w:hAnsi="黑体" w:eastAsia="黑体" w:cs="黑体"/>
          <w:sz w:val="32"/>
          <w:szCs w:val="40"/>
        </w:rPr>
      </w:pPr>
      <w:r>
        <w:rPr>
          <w:rFonts w:hint="eastAsia" w:ascii="黑体" w:hAnsi="黑体" w:eastAsia="黑体" w:cs="黑体"/>
          <w:sz w:val="32"/>
          <w:szCs w:val="40"/>
        </w:rPr>
        <w:t>（三）申报材料</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1、品牌首店奖励：</w:t>
      </w:r>
      <w:r>
        <w:rPr>
          <w:rFonts w:hint="eastAsia" w:ascii="仿宋_GB2312" w:hAnsi="仿宋_GB2312" w:eastAsia="仿宋_GB2312" w:cs="仿宋_GB2312"/>
          <w:sz w:val="32"/>
          <w:szCs w:val="32"/>
        </w:rPr>
        <w:t>企业营业执照、入驻协议、</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年度财务报告（经第三方审计或由纳税系统导出的财务年报）、店铺面积证明材料如租赁合同、品牌首店相关佐证材料。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品牌首店可提供但不限于以下材料：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1）商标注册证，</w:t>
      </w:r>
      <w:r>
        <w:rPr>
          <w:rFonts w:ascii="仿宋_GB2312" w:hAnsi="仿宋_GB2312" w:eastAsia="仿宋_GB2312" w:cs="仿宋_GB2312"/>
          <w:sz w:val="32"/>
          <w:szCs w:val="32"/>
        </w:rPr>
        <w:t>注册人</w:t>
      </w:r>
      <w:r>
        <w:rPr>
          <w:rFonts w:hint="eastAsia" w:ascii="仿宋_GB2312" w:hAnsi="仿宋_GB2312" w:eastAsia="仿宋_GB2312" w:cs="仿宋_GB2312"/>
          <w:sz w:val="32"/>
          <w:szCs w:val="32"/>
        </w:rPr>
        <w:t>为申请企业（法人），或提供商标注册证+</w:t>
      </w:r>
      <w:r>
        <w:rPr>
          <w:rFonts w:ascii="仿宋_GB2312" w:hAnsi="仿宋_GB2312" w:eastAsia="仿宋_GB2312" w:cs="仿宋_GB2312"/>
          <w:sz w:val="32"/>
          <w:szCs w:val="32"/>
        </w:rPr>
        <w:t>商标</w:t>
      </w:r>
      <w:r>
        <w:rPr>
          <w:rFonts w:hint="eastAsia" w:ascii="仿宋_GB2312" w:hAnsi="仿宋_GB2312" w:eastAsia="仿宋_GB2312" w:cs="仿宋_GB2312"/>
          <w:sz w:val="32"/>
          <w:szCs w:val="32"/>
        </w:rPr>
        <w:t>注册人的授权书。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2）申请企业为首店的证明，需体现层级，如亚洲首店、中国（内地）首店、华东首店、苏州首店等。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3）可证明其为首店的其他证明，如新闻报道等。</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2、运营主体引进品牌奖励：</w:t>
      </w:r>
      <w:r>
        <w:rPr>
          <w:rFonts w:hint="eastAsia" w:ascii="仿宋_GB2312" w:hAnsi="仿宋_GB2312" w:eastAsia="仿宋_GB2312" w:cs="仿宋_GB2312"/>
          <w:sz w:val="32"/>
          <w:szCs w:val="32"/>
        </w:rPr>
        <w:t>企业营业执照、商户营业执照、商户</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年度财务报告（经第三方审计或由纳税系统导出的财务年报）、商业综合体面积证明（房产证等）、商户入驻协议、商户为首店的证明材料（参考上一条首店要求）。</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3、运营主体资质认定奖励</w:t>
      </w:r>
      <w:r>
        <w:rPr>
          <w:rFonts w:hint="eastAsia" w:ascii="仿宋_GB2312" w:hAnsi="仿宋_GB2312" w:eastAsia="仿宋_GB2312" w:cs="仿宋_GB2312"/>
          <w:sz w:val="32"/>
          <w:szCs w:val="32"/>
        </w:rPr>
        <w:t>：企业营业执照、市级以上“高品位步行街”、“特色商业街”、“老字号”等称号证明、</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年度财务报告（经第三方审计或由纳税系统导出的财务年报）。</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4、商贸行业活动补贴</w:t>
      </w:r>
      <w:r>
        <w:rPr>
          <w:rFonts w:hint="eastAsia" w:ascii="仿宋_GB2312" w:hAnsi="仿宋_GB2312" w:eastAsia="仿宋_GB2312" w:cs="仿宋_GB2312"/>
          <w:sz w:val="32"/>
          <w:szCs w:val="32"/>
        </w:rPr>
        <w:t>：企业（机构）营业执照、活动相关材料（商贸宣传推介活动或商业论坛等的活动方案、现场照片及报道等证明文件）、</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年度财务报告（经审计或者纳税系统导出）。</w:t>
      </w:r>
    </w:p>
    <w:p>
      <w:pPr>
        <w:ind w:firstLine="640" w:firstLineChars="200"/>
        <w:rPr>
          <w:rFonts w:ascii="黑体" w:hAnsi="黑体" w:eastAsia="黑体" w:cs="黑体"/>
          <w:sz w:val="32"/>
          <w:szCs w:val="40"/>
        </w:rPr>
      </w:pPr>
      <w:r>
        <w:rPr>
          <w:rFonts w:hint="eastAsia" w:ascii="黑体" w:hAnsi="黑体" w:eastAsia="黑体" w:cs="黑体"/>
          <w:sz w:val="32"/>
          <w:szCs w:val="40"/>
        </w:rPr>
        <w:t>03、转型升级奖励</w:t>
      </w:r>
    </w:p>
    <w:p>
      <w:pPr>
        <w:ind w:firstLine="640" w:firstLineChars="200"/>
        <w:rPr>
          <w:rFonts w:ascii="黑体" w:hAnsi="黑体" w:eastAsia="黑体" w:cs="黑体"/>
          <w:sz w:val="32"/>
          <w:szCs w:val="40"/>
        </w:rPr>
      </w:pPr>
      <w:r>
        <w:rPr>
          <w:rFonts w:hint="eastAsia" w:ascii="黑体" w:hAnsi="黑体" w:eastAsia="黑体" w:cs="黑体"/>
          <w:sz w:val="32"/>
          <w:szCs w:val="40"/>
        </w:rPr>
        <w:t>（一）申报要求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1、运用人工智能、物联网、大数据等新技术加速向智慧零售、智慧商业转型、</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年投入超过100万元且销售额超过1000万元的商贸企业。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年获得国家级、省级认定的绿色商场。</w:t>
      </w:r>
    </w:p>
    <w:p>
      <w:pPr>
        <w:ind w:firstLine="640" w:firstLineChars="200"/>
        <w:rPr>
          <w:rFonts w:ascii="黑体" w:hAnsi="黑体" w:eastAsia="黑体" w:cs="黑体"/>
          <w:sz w:val="32"/>
          <w:szCs w:val="40"/>
        </w:rPr>
      </w:pPr>
      <w:r>
        <w:rPr>
          <w:rFonts w:hint="eastAsia" w:ascii="黑体" w:hAnsi="黑体" w:eastAsia="黑体" w:cs="黑体"/>
          <w:sz w:val="32"/>
          <w:szCs w:val="40"/>
        </w:rPr>
        <w:t>（二）扶持政策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1、对符合条件的智慧零售、智慧商业企业给予投入额10%、不超过30万元的奖励。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2、对符合条件的绿色商场给予最高不超过30万元的一次性奖励。</w:t>
      </w:r>
    </w:p>
    <w:p>
      <w:pPr>
        <w:ind w:firstLine="640" w:firstLineChars="200"/>
        <w:rPr>
          <w:rFonts w:ascii="黑体" w:hAnsi="黑体" w:eastAsia="黑体" w:cs="黑体"/>
          <w:sz w:val="32"/>
          <w:szCs w:val="40"/>
        </w:rPr>
      </w:pPr>
      <w:r>
        <w:rPr>
          <w:rFonts w:hint="eastAsia" w:ascii="黑体" w:hAnsi="黑体" w:eastAsia="黑体" w:cs="黑体"/>
          <w:sz w:val="32"/>
          <w:szCs w:val="40"/>
        </w:rPr>
        <w:t>（三）申报材料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sz w:val="32"/>
          <w:szCs w:val="32"/>
        </w:rPr>
        <w:t>、智慧零售、智慧商业企业奖励：</w:t>
      </w:r>
      <w:r>
        <w:rPr>
          <w:rFonts w:hint="eastAsia" w:ascii="仿宋_GB2312" w:hAnsi="仿宋_GB2312" w:eastAsia="仿宋_GB2312" w:cs="仿宋_GB2312"/>
          <w:sz w:val="32"/>
          <w:szCs w:val="32"/>
        </w:rPr>
        <w:t>企业营业执照、软硬件及技术投入费用佐证材料（如软硬件投入费用明细及发票和付款凭证，或专项审计报告）、</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年度财务报告（经第三方审计或由纳税系统导出的财务年报）</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2、绿色商场认定奖励：</w:t>
      </w:r>
      <w:r>
        <w:rPr>
          <w:rFonts w:hint="eastAsia" w:ascii="仿宋_GB2312" w:hAnsi="仿宋_GB2312" w:eastAsia="仿宋_GB2312" w:cs="仿宋_GB2312"/>
          <w:sz w:val="32"/>
          <w:szCs w:val="32"/>
        </w:rPr>
        <w:t>企业营业执照、国家（省）级绿色商场认定文件、</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年度财务报告（经审计或者纳税系统导出）</w:t>
      </w:r>
    </w:p>
    <w:p>
      <w:pPr>
        <w:ind w:firstLine="640" w:firstLineChars="200"/>
        <w:rPr>
          <w:rFonts w:ascii="黑体" w:hAnsi="黑体" w:eastAsia="黑体" w:cs="黑体"/>
          <w:sz w:val="32"/>
          <w:szCs w:val="40"/>
        </w:rPr>
      </w:pPr>
      <w:r>
        <w:rPr>
          <w:rFonts w:hint="eastAsia" w:ascii="黑体" w:hAnsi="黑体" w:eastAsia="黑体" w:cs="黑体"/>
          <w:sz w:val="32"/>
          <w:szCs w:val="40"/>
        </w:rPr>
        <w:t>04、电子商务发展奖励</w:t>
      </w:r>
    </w:p>
    <w:p>
      <w:pPr>
        <w:ind w:firstLine="640" w:firstLineChars="200"/>
        <w:rPr>
          <w:rFonts w:ascii="黑体" w:hAnsi="黑体" w:eastAsia="黑体" w:cs="黑体"/>
          <w:sz w:val="32"/>
          <w:szCs w:val="40"/>
        </w:rPr>
      </w:pPr>
      <w:r>
        <w:rPr>
          <w:rFonts w:hint="eastAsia" w:ascii="黑体" w:hAnsi="黑体" w:eastAsia="黑体" w:cs="黑体"/>
          <w:sz w:val="32"/>
          <w:szCs w:val="40"/>
        </w:rPr>
        <w:t>（一）申报要求</w:t>
      </w:r>
    </w:p>
    <w:p>
      <w:pPr>
        <w:numPr>
          <w:ilvl w:val="0"/>
          <w:numId w:val="1"/>
        </w:num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电商企业经营奖励</w:t>
      </w:r>
      <w:r>
        <w:rPr>
          <w:rFonts w:hint="eastAsia" w:ascii="仿宋_GB2312" w:hAnsi="仿宋_GB2312" w:eastAsia="仿宋_GB2312" w:cs="仿宋_GB2312"/>
          <w:sz w:val="32"/>
          <w:szCs w:val="32"/>
        </w:rPr>
        <w:t>：运行2年以上，</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年交易额超过1亿元以且增速达50%、100%的成长型和规模型电子商务企业。</w:t>
      </w:r>
    </w:p>
    <w:p>
      <w:pPr>
        <w:numPr>
          <w:ilvl w:val="0"/>
          <w:numId w:val="1"/>
        </w:num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电子商务企业参展补贴：</w:t>
      </w:r>
      <w:r>
        <w:rPr>
          <w:rFonts w:hint="eastAsia" w:ascii="仿宋_GB2312" w:hAnsi="仿宋_GB2312" w:eastAsia="仿宋_GB2312" w:cs="仿宋_GB2312"/>
          <w:sz w:val="32"/>
          <w:szCs w:val="32"/>
        </w:rPr>
        <w:t>电子商务企业参加区级以上政府部门推荐或认可的国内电子商务行业展会。</w:t>
      </w:r>
    </w:p>
    <w:p>
      <w:pPr>
        <w:ind w:firstLine="640" w:firstLineChars="200"/>
        <w:rPr>
          <w:rFonts w:ascii="黑体" w:hAnsi="黑体" w:eastAsia="黑体" w:cs="黑体"/>
          <w:sz w:val="32"/>
          <w:szCs w:val="40"/>
        </w:rPr>
      </w:pPr>
      <w:r>
        <w:rPr>
          <w:rFonts w:hint="eastAsia" w:ascii="黑体" w:hAnsi="黑体" w:eastAsia="黑体" w:cs="黑体"/>
          <w:sz w:val="32"/>
          <w:szCs w:val="40"/>
        </w:rPr>
        <w:t>（二）扶持政策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sz w:val="32"/>
          <w:szCs w:val="32"/>
        </w:rPr>
        <w:t>、电商企业经营奖励：</w:t>
      </w:r>
      <w:r>
        <w:rPr>
          <w:rFonts w:hint="eastAsia" w:ascii="仿宋_GB2312" w:hAnsi="仿宋_GB2312" w:eastAsia="仿宋_GB2312" w:cs="仿宋_GB2312"/>
          <w:sz w:val="32"/>
          <w:szCs w:val="32"/>
        </w:rPr>
        <w:t>对符合条件的成长型和规模型电子商务企业分别给予最高不超过10万元、20万元奖励，企业可根据实际情况用于高管团队奖励。</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2、电子商务企业参展补贴：</w:t>
      </w:r>
      <w:r>
        <w:rPr>
          <w:rFonts w:hint="eastAsia" w:ascii="仿宋_GB2312" w:hAnsi="仿宋_GB2312" w:eastAsia="仿宋_GB2312" w:cs="仿宋_GB2312"/>
          <w:sz w:val="32"/>
          <w:szCs w:val="32"/>
        </w:rPr>
        <w:t>对符合条件的电子商务企业参加展会，按照单个展位费50%给予补贴，单个企业最高申请三个展位且累计获得补贴每年最高不超过5万元。</w:t>
      </w:r>
    </w:p>
    <w:p>
      <w:pPr>
        <w:ind w:firstLine="640" w:firstLineChars="200"/>
        <w:rPr>
          <w:rFonts w:ascii="黑体" w:hAnsi="黑体" w:eastAsia="黑体" w:cs="黑体"/>
          <w:sz w:val="32"/>
          <w:szCs w:val="40"/>
        </w:rPr>
      </w:pPr>
      <w:r>
        <w:rPr>
          <w:rFonts w:hint="eastAsia" w:ascii="黑体" w:hAnsi="黑体" w:eastAsia="黑体" w:cs="黑体"/>
          <w:sz w:val="32"/>
          <w:szCs w:val="40"/>
        </w:rPr>
        <w:t>（三）申报材料</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1、电商企业经营奖励：</w:t>
      </w:r>
      <w:r>
        <w:rPr>
          <w:rFonts w:hint="eastAsia" w:ascii="仿宋_GB2312" w:hAnsi="仿宋_GB2312" w:eastAsia="仿宋_GB2312" w:cs="仿宋_GB2312"/>
          <w:sz w:val="32"/>
          <w:szCs w:val="32"/>
        </w:rPr>
        <w:t>企业营业执照、平台建设运行情况、体现近两年网上交易额证明材料（如专项审计报告或网上交易确认单等，交易确认单必须体现总金额）、</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年度财务报告（经第三方审计或由纳税系统导出的财务年报）。</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2、电子商务企业参展补贴：</w:t>
      </w:r>
      <w:r>
        <w:rPr>
          <w:rFonts w:hint="eastAsia" w:ascii="仿宋_GB2312" w:hAnsi="仿宋_GB2312" w:eastAsia="仿宋_GB2312" w:cs="仿宋_GB2312"/>
          <w:sz w:val="32"/>
          <w:szCs w:val="32"/>
        </w:rPr>
        <w:t>企业营业执照、展位确认书、收费通知、发票、付款凭证、展位相关照片、</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年度财务报告（经第三方审计或由纳税系统导出的财务年报）</w:t>
      </w:r>
    </w:p>
    <w:p>
      <w:pPr>
        <w:ind w:firstLine="640" w:firstLineChars="200"/>
        <w:rPr>
          <w:rFonts w:ascii="黑体" w:hAnsi="黑体" w:eastAsia="黑体" w:cs="黑体"/>
          <w:sz w:val="32"/>
          <w:szCs w:val="40"/>
        </w:rPr>
      </w:pPr>
      <w:r>
        <w:rPr>
          <w:rFonts w:hint="eastAsia" w:ascii="黑体" w:hAnsi="黑体" w:eastAsia="黑体" w:cs="黑体"/>
          <w:sz w:val="32"/>
          <w:szCs w:val="40"/>
        </w:rPr>
        <w:t>05、电子商务平台奖励</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40"/>
        </w:rPr>
        <w:t>（一）申报要求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sz w:val="32"/>
          <w:szCs w:val="32"/>
        </w:rPr>
        <w:t>、电商示范企业或基地认定奖励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年获得市级以上电商示范企业或基地称号。</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2、电商行业活动补贴：</w:t>
      </w:r>
      <w:r>
        <w:rPr>
          <w:rFonts w:hint="eastAsia" w:ascii="仿宋_GB2312" w:hAnsi="仿宋_GB2312" w:eastAsia="仿宋_GB2312" w:cs="仿宋_GB2312"/>
          <w:sz w:val="32"/>
          <w:szCs w:val="32"/>
        </w:rPr>
        <w:t>电子商务行业协会举办电子商务领域专业品牌论坛、沙龙等活动。</w:t>
      </w:r>
    </w:p>
    <w:p>
      <w:pPr>
        <w:ind w:firstLine="640" w:firstLineChars="200"/>
        <w:rPr>
          <w:rFonts w:ascii="黑体" w:hAnsi="黑体" w:eastAsia="黑体" w:cs="黑体"/>
          <w:sz w:val="32"/>
          <w:szCs w:val="40"/>
        </w:rPr>
      </w:pPr>
      <w:r>
        <w:rPr>
          <w:rFonts w:hint="eastAsia" w:ascii="黑体" w:hAnsi="黑体" w:eastAsia="黑体" w:cs="黑体"/>
          <w:sz w:val="32"/>
          <w:szCs w:val="40"/>
        </w:rPr>
        <w:t>（二）扶持政策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sz w:val="32"/>
          <w:szCs w:val="32"/>
        </w:rPr>
        <w:t>电商示范企业或基地认定奖励</w:t>
      </w:r>
      <w:r>
        <w:rPr>
          <w:rFonts w:hint="eastAsia" w:ascii="仿宋_GB2312" w:hAnsi="仿宋_GB2312" w:eastAsia="仿宋_GB2312" w:cs="仿宋_GB2312"/>
          <w:sz w:val="32"/>
          <w:szCs w:val="32"/>
        </w:rPr>
        <w:t>：对符合条件的，新获得市级以上电商示范企业或基地的给予最高不超过10万元的一次性奖励；已认定的给予5万元提升奖励。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sz w:val="32"/>
          <w:szCs w:val="32"/>
        </w:rPr>
        <w:t>电商行业活动补贴：</w:t>
      </w:r>
      <w:r>
        <w:rPr>
          <w:rFonts w:hint="eastAsia" w:ascii="仿宋_GB2312" w:hAnsi="仿宋_GB2312" w:eastAsia="仿宋_GB2312" w:cs="仿宋_GB2312"/>
          <w:sz w:val="32"/>
          <w:szCs w:val="32"/>
        </w:rPr>
        <w:t>对符合条件的活动或项目，每个给予最高不超过20万元的资金支持。</w:t>
      </w:r>
    </w:p>
    <w:p>
      <w:pPr>
        <w:ind w:firstLine="640" w:firstLineChars="200"/>
        <w:rPr>
          <w:rFonts w:ascii="黑体" w:hAnsi="黑体" w:eastAsia="黑体" w:cs="黑体"/>
          <w:sz w:val="32"/>
          <w:szCs w:val="40"/>
        </w:rPr>
      </w:pPr>
      <w:r>
        <w:rPr>
          <w:rFonts w:hint="eastAsia" w:ascii="黑体" w:hAnsi="黑体" w:eastAsia="黑体" w:cs="黑体"/>
          <w:sz w:val="32"/>
          <w:szCs w:val="40"/>
        </w:rPr>
        <w:t>（三）申报材料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sz w:val="32"/>
          <w:szCs w:val="32"/>
        </w:rPr>
        <w:t>电商示范企业或基地认定奖励：</w:t>
      </w:r>
      <w:r>
        <w:rPr>
          <w:rFonts w:hint="eastAsia" w:ascii="仿宋_GB2312" w:hAnsi="仿宋_GB2312" w:eastAsia="仿宋_GB2312" w:cs="仿宋_GB2312"/>
          <w:sz w:val="32"/>
          <w:szCs w:val="32"/>
        </w:rPr>
        <w:t>企业营业执照、市级以上电商示范企业或基地认定文件、</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年度财务报告（经第三方审计或由纳税系统导出的财务年报）。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sz w:val="32"/>
          <w:szCs w:val="32"/>
        </w:rPr>
        <w:t>电商行业活动补贴：</w:t>
      </w:r>
      <w:r>
        <w:rPr>
          <w:rFonts w:hint="eastAsia" w:ascii="仿宋_GB2312" w:hAnsi="仿宋_GB2312" w:eastAsia="仿宋_GB2312" w:cs="仿宋_GB2312"/>
          <w:sz w:val="32"/>
          <w:szCs w:val="32"/>
        </w:rPr>
        <w:t>企业（机构）营业执照、活动相关材料（如专业品牌论坛、沙龙等的活动方案、现场照片及报道等证明文件）</w:t>
      </w:r>
    </w:p>
    <w:p>
      <w:pPr>
        <w:ind w:firstLine="640" w:firstLineChars="200"/>
        <w:rPr>
          <w:rFonts w:ascii="黑体" w:hAnsi="黑体" w:eastAsia="黑体" w:cs="黑体"/>
          <w:sz w:val="32"/>
          <w:szCs w:val="40"/>
        </w:rPr>
      </w:pPr>
      <w:r>
        <w:rPr>
          <w:rFonts w:hint="eastAsia" w:ascii="黑体" w:hAnsi="黑体" w:eastAsia="黑体" w:cs="黑体"/>
          <w:sz w:val="32"/>
          <w:szCs w:val="40"/>
        </w:rPr>
        <w:t>三、申报流程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本次申报采取</w:t>
      </w:r>
      <w:r>
        <w:rPr>
          <w:rFonts w:hint="eastAsia" w:ascii="仿宋_GB2312" w:hAnsi="仿宋_GB2312" w:eastAsia="仿宋_GB2312" w:cs="仿宋_GB2312"/>
          <w:sz w:val="32"/>
          <w:szCs w:val="40"/>
          <w:highlight w:val="yellow"/>
        </w:rPr>
        <w:t>不见面申报方式</w:t>
      </w:r>
      <w:r>
        <w:rPr>
          <w:rFonts w:hint="eastAsia" w:ascii="仿宋_GB2312" w:hAnsi="仿宋_GB2312" w:eastAsia="仿宋_GB2312" w:cs="仿宋_GB2312"/>
          <w:sz w:val="32"/>
          <w:szCs w:val="32"/>
        </w:rPr>
        <w:t>，具体申报方式为：请进入“苏州工业园区企业发展服务中心”官网（http://sme.sipac.gov.cn）--企业用户登录--财政专项资金平台--资金申报，进入“苏州工业园区商贸电商引导资金”申报专题，请按需选择需要申报的项目类型进入对应的表单进行填报并上传有关附件。</w:t>
      </w:r>
    </w:p>
    <w:p>
      <w:pPr>
        <w:ind w:firstLine="640" w:firstLineChars="200"/>
        <w:rPr>
          <w:rFonts w:ascii="黑体" w:hAnsi="黑体" w:eastAsia="黑体" w:cs="黑体"/>
          <w:sz w:val="32"/>
          <w:szCs w:val="40"/>
        </w:rPr>
      </w:pPr>
      <w:r>
        <w:rPr>
          <w:rFonts w:hint="eastAsia" w:ascii="黑体" w:hAnsi="黑体" w:eastAsia="黑体" w:cs="黑体"/>
          <w:sz w:val="32"/>
          <w:szCs w:val="40"/>
        </w:rPr>
        <w:t>四、资金拨付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自贸区综合协调局、园区企业发展服务中心将依据政策规定，在项目初审、第三方专项审计、项目公示、上报园区管委会审定等程序后一次性拨付专项支持资金。</w:t>
      </w:r>
    </w:p>
    <w:p>
      <w:pPr>
        <w:spacing w:line="560" w:lineRule="exact"/>
        <w:ind w:firstLine="640" w:firstLineChars="200"/>
        <w:rPr>
          <w:rFonts w:ascii="黑体" w:hAnsi="Verdana" w:eastAsia="黑体"/>
          <w:sz w:val="32"/>
          <w:szCs w:val="32"/>
        </w:rPr>
      </w:pPr>
      <w:r>
        <w:rPr>
          <w:rFonts w:hint="eastAsia" w:ascii="黑体" w:hAnsi="Verdana" w:eastAsia="黑体"/>
          <w:sz w:val="32"/>
          <w:szCs w:val="32"/>
        </w:rPr>
        <w:t>五、其他说明</w:t>
      </w:r>
    </w:p>
    <w:p>
      <w:pPr>
        <w:spacing w:line="560" w:lineRule="exact"/>
        <w:ind w:firstLine="627" w:firstLineChars="196"/>
        <w:rPr>
          <w:rFonts w:ascii="仿宋_GB2312" w:hAnsi="黑体" w:eastAsia="仿宋_GB2312"/>
          <w:b/>
          <w:sz w:val="32"/>
          <w:szCs w:val="32"/>
        </w:rPr>
      </w:pPr>
      <w:r>
        <w:rPr>
          <w:rFonts w:hint="eastAsia" w:ascii="仿宋_GB2312" w:hAnsi="仿宋" w:eastAsia="仿宋_GB2312"/>
          <w:sz w:val="32"/>
          <w:szCs w:val="32"/>
        </w:rPr>
        <w:t>（一）</w:t>
      </w:r>
      <w:r>
        <w:rPr>
          <w:rFonts w:hint="eastAsia" w:ascii="仿宋_GB2312" w:eastAsia="仿宋_GB2312"/>
          <w:sz w:val="32"/>
          <w:szCs w:val="32"/>
        </w:rPr>
        <w:t>申</w:t>
      </w:r>
      <w:r>
        <w:rPr>
          <w:rFonts w:hint="eastAsia" w:ascii="仿宋_GB2312" w:hAnsi="仿宋" w:eastAsia="仿宋_GB2312"/>
          <w:sz w:val="32"/>
          <w:szCs w:val="32"/>
        </w:rPr>
        <w:t>报</w:t>
      </w:r>
      <w:r>
        <w:rPr>
          <w:rFonts w:hint="eastAsia" w:ascii="仿宋_GB2312" w:eastAsia="仿宋_GB2312"/>
          <w:sz w:val="32"/>
          <w:szCs w:val="32"/>
        </w:rPr>
        <w:t>单位须对照申报指南进行申报，并签订统一的信用承诺，保证申报材料的真实性、合法性及未重复申报等；签订统一的权责制协议，明确受助项目的责任和义务。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（二）申报单位应无保留接受园区财政、</w:t>
      </w:r>
      <w:r>
        <w:rPr>
          <w:rFonts w:hint="eastAsia" w:ascii="仿宋_GB2312" w:hAnsi="仿宋_GB2312" w:eastAsia="仿宋_GB2312" w:cs="仿宋_GB2312"/>
          <w:sz w:val="32"/>
          <w:szCs w:val="32"/>
        </w:rPr>
        <w:t>自贸区综合协调局（商务局）</w:t>
      </w:r>
      <w:r>
        <w:rPr>
          <w:rFonts w:hint="eastAsia" w:ascii="仿宋_GB2312" w:hAnsi="仿宋" w:eastAsia="仿宋_GB2312"/>
          <w:sz w:val="32"/>
          <w:szCs w:val="32"/>
        </w:rPr>
        <w:t>、企业发展服务中心委托的第三方审计部门对企业申报资质、材料进行核查，配合主管部门监督检查，配合提供服务业发展引导资金使用情况和项目实施后的示范效果相应文件、资料。</w:t>
      </w:r>
    </w:p>
    <w:p>
      <w:pPr>
        <w:spacing w:line="560" w:lineRule="exact"/>
        <w:ind w:firstLine="640" w:firstLineChars="200"/>
        <w:rPr>
          <w:rFonts w:ascii="黑体" w:hAnsi="黑体" w:eastAsia="黑体" w:cs="黑体"/>
          <w:sz w:val="32"/>
          <w:szCs w:val="40"/>
        </w:rPr>
      </w:pPr>
      <w:r>
        <w:rPr>
          <w:rFonts w:hint="eastAsia" w:ascii="仿宋_GB2312" w:hAnsi="仿宋" w:eastAsia="仿宋_GB2312"/>
          <w:sz w:val="32"/>
          <w:szCs w:val="32"/>
        </w:rPr>
        <w:t>（三）根据需要，如需增加相应补充材料另行通知。</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9</w:t>
    </w:r>
    <w:r>
      <w:rPr>
        <w:rStyle w:val="9"/>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FC0963"/>
    <w:multiLevelType w:val="singleLevel"/>
    <w:tmpl w:val="B1FC096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854509"/>
    <w:rsid w:val="0000055B"/>
    <w:rsid w:val="0000293B"/>
    <w:rsid w:val="000132C0"/>
    <w:rsid w:val="000144A9"/>
    <w:rsid w:val="00045B43"/>
    <w:rsid w:val="00054F29"/>
    <w:rsid w:val="00056A97"/>
    <w:rsid w:val="00057006"/>
    <w:rsid w:val="00060921"/>
    <w:rsid w:val="0006109C"/>
    <w:rsid w:val="00061CB8"/>
    <w:rsid w:val="000642B1"/>
    <w:rsid w:val="00064944"/>
    <w:rsid w:val="00070E7E"/>
    <w:rsid w:val="00071410"/>
    <w:rsid w:val="0007646D"/>
    <w:rsid w:val="00081347"/>
    <w:rsid w:val="000857BA"/>
    <w:rsid w:val="00086B21"/>
    <w:rsid w:val="000871B1"/>
    <w:rsid w:val="00095329"/>
    <w:rsid w:val="000A3D42"/>
    <w:rsid w:val="000B0C81"/>
    <w:rsid w:val="000B1DCA"/>
    <w:rsid w:val="000C18FC"/>
    <w:rsid w:val="000C2DFA"/>
    <w:rsid w:val="000D0527"/>
    <w:rsid w:val="000D1BDE"/>
    <w:rsid w:val="000D78BD"/>
    <w:rsid w:val="000E070F"/>
    <w:rsid w:val="000E5558"/>
    <w:rsid w:val="000F2794"/>
    <w:rsid w:val="000F3CF7"/>
    <w:rsid w:val="000F407C"/>
    <w:rsid w:val="000F66C9"/>
    <w:rsid w:val="000F714A"/>
    <w:rsid w:val="00102FD3"/>
    <w:rsid w:val="00104C13"/>
    <w:rsid w:val="001063B9"/>
    <w:rsid w:val="001219B0"/>
    <w:rsid w:val="00123048"/>
    <w:rsid w:val="001260E8"/>
    <w:rsid w:val="00126F3C"/>
    <w:rsid w:val="0014677F"/>
    <w:rsid w:val="0015363C"/>
    <w:rsid w:val="00154818"/>
    <w:rsid w:val="00156369"/>
    <w:rsid w:val="001639A0"/>
    <w:rsid w:val="0016610A"/>
    <w:rsid w:val="00167618"/>
    <w:rsid w:val="0017067F"/>
    <w:rsid w:val="00186ADD"/>
    <w:rsid w:val="00187677"/>
    <w:rsid w:val="001918CD"/>
    <w:rsid w:val="001934CF"/>
    <w:rsid w:val="001A01A6"/>
    <w:rsid w:val="001A058F"/>
    <w:rsid w:val="001A4417"/>
    <w:rsid w:val="001A4C35"/>
    <w:rsid w:val="001A55E8"/>
    <w:rsid w:val="001A71B3"/>
    <w:rsid w:val="001C2C61"/>
    <w:rsid w:val="001C6B35"/>
    <w:rsid w:val="001E010D"/>
    <w:rsid w:val="001E4388"/>
    <w:rsid w:val="001F0940"/>
    <w:rsid w:val="001F286E"/>
    <w:rsid w:val="00205215"/>
    <w:rsid w:val="0021159B"/>
    <w:rsid w:val="0022724A"/>
    <w:rsid w:val="00232BED"/>
    <w:rsid w:val="00234A40"/>
    <w:rsid w:val="0023543E"/>
    <w:rsid w:val="00241964"/>
    <w:rsid w:val="0024217F"/>
    <w:rsid w:val="00242E3E"/>
    <w:rsid w:val="00250142"/>
    <w:rsid w:val="002611FB"/>
    <w:rsid w:val="0026157E"/>
    <w:rsid w:val="0026623B"/>
    <w:rsid w:val="00274F0B"/>
    <w:rsid w:val="00276EA8"/>
    <w:rsid w:val="00284C17"/>
    <w:rsid w:val="00290BA7"/>
    <w:rsid w:val="002A2887"/>
    <w:rsid w:val="002A5CD7"/>
    <w:rsid w:val="002A68C4"/>
    <w:rsid w:val="002C121B"/>
    <w:rsid w:val="002D30E1"/>
    <w:rsid w:val="002D7132"/>
    <w:rsid w:val="002F175D"/>
    <w:rsid w:val="00302F5D"/>
    <w:rsid w:val="003132CB"/>
    <w:rsid w:val="003200DE"/>
    <w:rsid w:val="00325079"/>
    <w:rsid w:val="003250D0"/>
    <w:rsid w:val="00333A4F"/>
    <w:rsid w:val="00335E3F"/>
    <w:rsid w:val="0033621F"/>
    <w:rsid w:val="00341427"/>
    <w:rsid w:val="00344F38"/>
    <w:rsid w:val="00346A52"/>
    <w:rsid w:val="00350A4C"/>
    <w:rsid w:val="003638A3"/>
    <w:rsid w:val="00366EC7"/>
    <w:rsid w:val="00366FFE"/>
    <w:rsid w:val="00367B19"/>
    <w:rsid w:val="00371CE0"/>
    <w:rsid w:val="00377B5F"/>
    <w:rsid w:val="00384346"/>
    <w:rsid w:val="003901F1"/>
    <w:rsid w:val="00395DC5"/>
    <w:rsid w:val="003A09FE"/>
    <w:rsid w:val="003A119F"/>
    <w:rsid w:val="003A2F29"/>
    <w:rsid w:val="003A7412"/>
    <w:rsid w:val="003B0BBC"/>
    <w:rsid w:val="003B2BF4"/>
    <w:rsid w:val="003B396E"/>
    <w:rsid w:val="003B5A22"/>
    <w:rsid w:val="003C3A3A"/>
    <w:rsid w:val="003E2DF3"/>
    <w:rsid w:val="003E71D4"/>
    <w:rsid w:val="003F0EBD"/>
    <w:rsid w:val="003F2223"/>
    <w:rsid w:val="00402543"/>
    <w:rsid w:val="0040362B"/>
    <w:rsid w:val="004053E3"/>
    <w:rsid w:val="00405C50"/>
    <w:rsid w:val="00405DAE"/>
    <w:rsid w:val="00417CE1"/>
    <w:rsid w:val="00417D26"/>
    <w:rsid w:val="00421C60"/>
    <w:rsid w:val="00423977"/>
    <w:rsid w:val="00426B7A"/>
    <w:rsid w:val="00432797"/>
    <w:rsid w:val="0043382A"/>
    <w:rsid w:val="0044737F"/>
    <w:rsid w:val="0045183A"/>
    <w:rsid w:val="00451D0C"/>
    <w:rsid w:val="00452A69"/>
    <w:rsid w:val="0045476F"/>
    <w:rsid w:val="00456B9F"/>
    <w:rsid w:val="00462A0D"/>
    <w:rsid w:val="00463CA1"/>
    <w:rsid w:val="00470F27"/>
    <w:rsid w:val="00471DC1"/>
    <w:rsid w:val="004976DE"/>
    <w:rsid w:val="00497A29"/>
    <w:rsid w:val="004C2A9C"/>
    <w:rsid w:val="004C7AEC"/>
    <w:rsid w:val="004C7EE9"/>
    <w:rsid w:val="004D1C95"/>
    <w:rsid w:val="004D1F01"/>
    <w:rsid w:val="004D2352"/>
    <w:rsid w:val="004D2FFC"/>
    <w:rsid w:val="004D6C11"/>
    <w:rsid w:val="004E2473"/>
    <w:rsid w:val="004E5528"/>
    <w:rsid w:val="004E6E8D"/>
    <w:rsid w:val="004E7530"/>
    <w:rsid w:val="004F08C4"/>
    <w:rsid w:val="004F3783"/>
    <w:rsid w:val="004F660F"/>
    <w:rsid w:val="004F6729"/>
    <w:rsid w:val="004F7829"/>
    <w:rsid w:val="004F7CA6"/>
    <w:rsid w:val="00500772"/>
    <w:rsid w:val="005010C5"/>
    <w:rsid w:val="00501DBA"/>
    <w:rsid w:val="00524760"/>
    <w:rsid w:val="005340A1"/>
    <w:rsid w:val="0054326F"/>
    <w:rsid w:val="0054782B"/>
    <w:rsid w:val="005546DE"/>
    <w:rsid w:val="00556EDE"/>
    <w:rsid w:val="005627A6"/>
    <w:rsid w:val="00566D8A"/>
    <w:rsid w:val="00567A22"/>
    <w:rsid w:val="00575746"/>
    <w:rsid w:val="005859E6"/>
    <w:rsid w:val="00593AF8"/>
    <w:rsid w:val="005A4CDA"/>
    <w:rsid w:val="005A5CCE"/>
    <w:rsid w:val="005A76AE"/>
    <w:rsid w:val="005C6471"/>
    <w:rsid w:val="005D1B2A"/>
    <w:rsid w:val="005D3284"/>
    <w:rsid w:val="005D6D95"/>
    <w:rsid w:val="005E06D8"/>
    <w:rsid w:val="005E0F58"/>
    <w:rsid w:val="005F455D"/>
    <w:rsid w:val="005F63A1"/>
    <w:rsid w:val="005F70FB"/>
    <w:rsid w:val="00605329"/>
    <w:rsid w:val="00605849"/>
    <w:rsid w:val="00610F9E"/>
    <w:rsid w:val="00614735"/>
    <w:rsid w:val="0061682D"/>
    <w:rsid w:val="006268BB"/>
    <w:rsid w:val="00627AA4"/>
    <w:rsid w:val="00632C83"/>
    <w:rsid w:val="00635A7B"/>
    <w:rsid w:val="00641D50"/>
    <w:rsid w:val="006445BB"/>
    <w:rsid w:val="0064707D"/>
    <w:rsid w:val="006517BC"/>
    <w:rsid w:val="00651BF7"/>
    <w:rsid w:val="006527AC"/>
    <w:rsid w:val="00654D9A"/>
    <w:rsid w:val="006632EE"/>
    <w:rsid w:val="00666890"/>
    <w:rsid w:val="00676FD7"/>
    <w:rsid w:val="00677727"/>
    <w:rsid w:val="00680A12"/>
    <w:rsid w:val="00682C24"/>
    <w:rsid w:val="0069452A"/>
    <w:rsid w:val="006A0745"/>
    <w:rsid w:val="006A4E09"/>
    <w:rsid w:val="006A697D"/>
    <w:rsid w:val="006B2FBF"/>
    <w:rsid w:val="006B398C"/>
    <w:rsid w:val="006B5801"/>
    <w:rsid w:val="006B7589"/>
    <w:rsid w:val="006D1497"/>
    <w:rsid w:val="006E7EEE"/>
    <w:rsid w:val="006F38EA"/>
    <w:rsid w:val="00700419"/>
    <w:rsid w:val="00710F46"/>
    <w:rsid w:val="0071106E"/>
    <w:rsid w:val="00714475"/>
    <w:rsid w:val="0071497E"/>
    <w:rsid w:val="00716A5C"/>
    <w:rsid w:val="007314B1"/>
    <w:rsid w:val="007337C0"/>
    <w:rsid w:val="0074065C"/>
    <w:rsid w:val="00741912"/>
    <w:rsid w:val="00746A83"/>
    <w:rsid w:val="00746DB6"/>
    <w:rsid w:val="00746E6F"/>
    <w:rsid w:val="007526E1"/>
    <w:rsid w:val="00755E8F"/>
    <w:rsid w:val="00756A65"/>
    <w:rsid w:val="007607D0"/>
    <w:rsid w:val="00765647"/>
    <w:rsid w:val="00774D9A"/>
    <w:rsid w:val="00776F34"/>
    <w:rsid w:val="00790198"/>
    <w:rsid w:val="007935C2"/>
    <w:rsid w:val="00797128"/>
    <w:rsid w:val="007B1983"/>
    <w:rsid w:val="007B4FAF"/>
    <w:rsid w:val="007B78F3"/>
    <w:rsid w:val="007D08FA"/>
    <w:rsid w:val="007D133C"/>
    <w:rsid w:val="007D17D1"/>
    <w:rsid w:val="007D2A83"/>
    <w:rsid w:val="007D34DE"/>
    <w:rsid w:val="007D7382"/>
    <w:rsid w:val="007E0A95"/>
    <w:rsid w:val="007E73C1"/>
    <w:rsid w:val="007E7A21"/>
    <w:rsid w:val="00803869"/>
    <w:rsid w:val="00814A99"/>
    <w:rsid w:val="00814B94"/>
    <w:rsid w:val="008161E9"/>
    <w:rsid w:val="00820D4F"/>
    <w:rsid w:val="008263F1"/>
    <w:rsid w:val="0082733B"/>
    <w:rsid w:val="00831E55"/>
    <w:rsid w:val="00832583"/>
    <w:rsid w:val="0083471F"/>
    <w:rsid w:val="0083692C"/>
    <w:rsid w:val="00843F00"/>
    <w:rsid w:val="00844757"/>
    <w:rsid w:val="00850D34"/>
    <w:rsid w:val="00854509"/>
    <w:rsid w:val="00857909"/>
    <w:rsid w:val="00860723"/>
    <w:rsid w:val="00864C0B"/>
    <w:rsid w:val="00865F04"/>
    <w:rsid w:val="008676BF"/>
    <w:rsid w:val="00875475"/>
    <w:rsid w:val="008847D6"/>
    <w:rsid w:val="008C0B5A"/>
    <w:rsid w:val="008C2F81"/>
    <w:rsid w:val="008C5F94"/>
    <w:rsid w:val="008D38EA"/>
    <w:rsid w:val="008D6564"/>
    <w:rsid w:val="008D691E"/>
    <w:rsid w:val="008F750F"/>
    <w:rsid w:val="00913029"/>
    <w:rsid w:val="00920A00"/>
    <w:rsid w:val="0092221C"/>
    <w:rsid w:val="00924176"/>
    <w:rsid w:val="00925629"/>
    <w:rsid w:val="00927C46"/>
    <w:rsid w:val="00931D64"/>
    <w:rsid w:val="009337CF"/>
    <w:rsid w:val="0093396C"/>
    <w:rsid w:val="00934AF8"/>
    <w:rsid w:val="009409B6"/>
    <w:rsid w:val="00953A24"/>
    <w:rsid w:val="009546FF"/>
    <w:rsid w:val="00954AFF"/>
    <w:rsid w:val="0095765C"/>
    <w:rsid w:val="009602C7"/>
    <w:rsid w:val="00960FB4"/>
    <w:rsid w:val="009627B1"/>
    <w:rsid w:val="00983B5E"/>
    <w:rsid w:val="00984FC4"/>
    <w:rsid w:val="0098730A"/>
    <w:rsid w:val="009923B2"/>
    <w:rsid w:val="00994BCB"/>
    <w:rsid w:val="009B015B"/>
    <w:rsid w:val="009B2499"/>
    <w:rsid w:val="009B2B31"/>
    <w:rsid w:val="009B567B"/>
    <w:rsid w:val="009C05A6"/>
    <w:rsid w:val="009C1ABD"/>
    <w:rsid w:val="009C558C"/>
    <w:rsid w:val="009D06D4"/>
    <w:rsid w:val="009D09C5"/>
    <w:rsid w:val="009E127E"/>
    <w:rsid w:val="009E264F"/>
    <w:rsid w:val="009F1125"/>
    <w:rsid w:val="009F7447"/>
    <w:rsid w:val="00A04236"/>
    <w:rsid w:val="00A10E35"/>
    <w:rsid w:val="00A13557"/>
    <w:rsid w:val="00A1534E"/>
    <w:rsid w:val="00A17DAB"/>
    <w:rsid w:val="00A2026C"/>
    <w:rsid w:val="00A20441"/>
    <w:rsid w:val="00A24590"/>
    <w:rsid w:val="00A30BF5"/>
    <w:rsid w:val="00A37E82"/>
    <w:rsid w:val="00A4005D"/>
    <w:rsid w:val="00A46782"/>
    <w:rsid w:val="00A53179"/>
    <w:rsid w:val="00A5330D"/>
    <w:rsid w:val="00A53A6C"/>
    <w:rsid w:val="00A56620"/>
    <w:rsid w:val="00A60BC1"/>
    <w:rsid w:val="00A6107D"/>
    <w:rsid w:val="00A641AD"/>
    <w:rsid w:val="00A656B0"/>
    <w:rsid w:val="00A66816"/>
    <w:rsid w:val="00A837B9"/>
    <w:rsid w:val="00A84495"/>
    <w:rsid w:val="00A84842"/>
    <w:rsid w:val="00A9108A"/>
    <w:rsid w:val="00A91B19"/>
    <w:rsid w:val="00A9618D"/>
    <w:rsid w:val="00A97821"/>
    <w:rsid w:val="00AA2EEC"/>
    <w:rsid w:val="00AA2F74"/>
    <w:rsid w:val="00AB5626"/>
    <w:rsid w:val="00AB7B3E"/>
    <w:rsid w:val="00AC004F"/>
    <w:rsid w:val="00AC07E5"/>
    <w:rsid w:val="00AC30CC"/>
    <w:rsid w:val="00AC7AA5"/>
    <w:rsid w:val="00AD2E5C"/>
    <w:rsid w:val="00AD62C0"/>
    <w:rsid w:val="00AE219D"/>
    <w:rsid w:val="00AE795D"/>
    <w:rsid w:val="00AF1025"/>
    <w:rsid w:val="00AF1CF9"/>
    <w:rsid w:val="00AF3012"/>
    <w:rsid w:val="00B00F28"/>
    <w:rsid w:val="00B12622"/>
    <w:rsid w:val="00B31E94"/>
    <w:rsid w:val="00B32184"/>
    <w:rsid w:val="00B56F29"/>
    <w:rsid w:val="00B6582E"/>
    <w:rsid w:val="00B65B98"/>
    <w:rsid w:val="00B77A24"/>
    <w:rsid w:val="00B85379"/>
    <w:rsid w:val="00B908CD"/>
    <w:rsid w:val="00B919D1"/>
    <w:rsid w:val="00B95113"/>
    <w:rsid w:val="00BA1C38"/>
    <w:rsid w:val="00BA259F"/>
    <w:rsid w:val="00BB0B8B"/>
    <w:rsid w:val="00BB53D6"/>
    <w:rsid w:val="00BB76F5"/>
    <w:rsid w:val="00BD275A"/>
    <w:rsid w:val="00BD3821"/>
    <w:rsid w:val="00BE485F"/>
    <w:rsid w:val="00BE490B"/>
    <w:rsid w:val="00BE4DEF"/>
    <w:rsid w:val="00BE554D"/>
    <w:rsid w:val="00BF317D"/>
    <w:rsid w:val="00C007E3"/>
    <w:rsid w:val="00C00D46"/>
    <w:rsid w:val="00C04C91"/>
    <w:rsid w:val="00C120D8"/>
    <w:rsid w:val="00C2153C"/>
    <w:rsid w:val="00C23687"/>
    <w:rsid w:val="00C2369C"/>
    <w:rsid w:val="00C35EEB"/>
    <w:rsid w:val="00C3620D"/>
    <w:rsid w:val="00C40F3A"/>
    <w:rsid w:val="00C43CCE"/>
    <w:rsid w:val="00C473CB"/>
    <w:rsid w:val="00C52800"/>
    <w:rsid w:val="00C62B24"/>
    <w:rsid w:val="00C70DD7"/>
    <w:rsid w:val="00C77952"/>
    <w:rsid w:val="00C81F67"/>
    <w:rsid w:val="00C91CAD"/>
    <w:rsid w:val="00C96A1F"/>
    <w:rsid w:val="00CB72B6"/>
    <w:rsid w:val="00CC1D7B"/>
    <w:rsid w:val="00CC4151"/>
    <w:rsid w:val="00CC7DA9"/>
    <w:rsid w:val="00CD2AB7"/>
    <w:rsid w:val="00CE1BF6"/>
    <w:rsid w:val="00CE2517"/>
    <w:rsid w:val="00CE6C1A"/>
    <w:rsid w:val="00CF2A77"/>
    <w:rsid w:val="00D00DEF"/>
    <w:rsid w:val="00D12629"/>
    <w:rsid w:val="00D16C8B"/>
    <w:rsid w:val="00D26893"/>
    <w:rsid w:val="00D458ED"/>
    <w:rsid w:val="00D50A09"/>
    <w:rsid w:val="00D52129"/>
    <w:rsid w:val="00D53EA7"/>
    <w:rsid w:val="00D541A0"/>
    <w:rsid w:val="00D65EC9"/>
    <w:rsid w:val="00D73EBD"/>
    <w:rsid w:val="00D74D85"/>
    <w:rsid w:val="00D76AC7"/>
    <w:rsid w:val="00D84D4C"/>
    <w:rsid w:val="00D851AF"/>
    <w:rsid w:val="00D91926"/>
    <w:rsid w:val="00D9228C"/>
    <w:rsid w:val="00DA1CC7"/>
    <w:rsid w:val="00DA6644"/>
    <w:rsid w:val="00DC3B20"/>
    <w:rsid w:val="00DC6C78"/>
    <w:rsid w:val="00DD2396"/>
    <w:rsid w:val="00DD458D"/>
    <w:rsid w:val="00DE04EE"/>
    <w:rsid w:val="00DE2191"/>
    <w:rsid w:val="00DE280D"/>
    <w:rsid w:val="00DE4720"/>
    <w:rsid w:val="00DE6E8E"/>
    <w:rsid w:val="00DF14DF"/>
    <w:rsid w:val="00DF1547"/>
    <w:rsid w:val="00DF30B3"/>
    <w:rsid w:val="00DF5C8B"/>
    <w:rsid w:val="00E135A7"/>
    <w:rsid w:val="00E215F0"/>
    <w:rsid w:val="00E2302A"/>
    <w:rsid w:val="00E2568A"/>
    <w:rsid w:val="00E344A4"/>
    <w:rsid w:val="00E34981"/>
    <w:rsid w:val="00E34C79"/>
    <w:rsid w:val="00E3634B"/>
    <w:rsid w:val="00E366C6"/>
    <w:rsid w:val="00E40A83"/>
    <w:rsid w:val="00E41CF3"/>
    <w:rsid w:val="00E5276F"/>
    <w:rsid w:val="00E55236"/>
    <w:rsid w:val="00E56AB3"/>
    <w:rsid w:val="00E60E78"/>
    <w:rsid w:val="00E61CD2"/>
    <w:rsid w:val="00E625BA"/>
    <w:rsid w:val="00E71D2B"/>
    <w:rsid w:val="00E9161C"/>
    <w:rsid w:val="00E946E8"/>
    <w:rsid w:val="00E96EEE"/>
    <w:rsid w:val="00EA1C5F"/>
    <w:rsid w:val="00EC24D7"/>
    <w:rsid w:val="00EC61D1"/>
    <w:rsid w:val="00EC6BF6"/>
    <w:rsid w:val="00ED5388"/>
    <w:rsid w:val="00ED60ED"/>
    <w:rsid w:val="00EE1DE9"/>
    <w:rsid w:val="00EE2F3B"/>
    <w:rsid w:val="00EE4A89"/>
    <w:rsid w:val="00F02C24"/>
    <w:rsid w:val="00F0516E"/>
    <w:rsid w:val="00F10329"/>
    <w:rsid w:val="00F137C1"/>
    <w:rsid w:val="00F1599B"/>
    <w:rsid w:val="00F24791"/>
    <w:rsid w:val="00F454BC"/>
    <w:rsid w:val="00F474AE"/>
    <w:rsid w:val="00F536F4"/>
    <w:rsid w:val="00F60AAD"/>
    <w:rsid w:val="00F63041"/>
    <w:rsid w:val="00F66FC0"/>
    <w:rsid w:val="00F743A4"/>
    <w:rsid w:val="00F75542"/>
    <w:rsid w:val="00F76871"/>
    <w:rsid w:val="00F921F4"/>
    <w:rsid w:val="00FA0CE1"/>
    <w:rsid w:val="00FA32D3"/>
    <w:rsid w:val="00FB2B17"/>
    <w:rsid w:val="00FB555B"/>
    <w:rsid w:val="00FC44AF"/>
    <w:rsid w:val="00FC63D0"/>
    <w:rsid w:val="00FD24A2"/>
    <w:rsid w:val="00FD6FC3"/>
    <w:rsid w:val="00FE0730"/>
    <w:rsid w:val="00FE132A"/>
    <w:rsid w:val="00FE3F22"/>
    <w:rsid w:val="00FF2DDA"/>
    <w:rsid w:val="00FF6189"/>
    <w:rsid w:val="016A1DFA"/>
    <w:rsid w:val="017835F2"/>
    <w:rsid w:val="019161AE"/>
    <w:rsid w:val="0444150C"/>
    <w:rsid w:val="04564757"/>
    <w:rsid w:val="0583141F"/>
    <w:rsid w:val="061063D8"/>
    <w:rsid w:val="07550E0F"/>
    <w:rsid w:val="082774D9"/>
    <w:rsid w:val="08D945B9"/>
    <w:rsid w:val="0A1C786D"/>
    <w:rsid w:val="0A3E2554"/>
    <w:rsid w:val="0B8E591C"/>
    <w:rsid w:val="12241775"/>
    <w:rsid w:val="13503AF9"/>
    <w:rsid w:val="14B14F92"/>
    <w:rsid w:val="15DD7BBE"/>
    <w:rsid w:val="18E45BF7"/>
    <w:rsid w:val="19C453FE"/>
    <w:rsid w:val="1A0439DD"/>
    <w:rsid w:val="1A267F4E"/>
    <w:rsid w:val="1B085F7A"/>
    <w:rsid w:val="1C032BD0"/>
    <w:rsid w:val="1C0B758A"/>
    <w:rsid w:val="1CD559C5"/>
    <w:rsid w:val="1CFE7F72"/>
    <w:rsid w:val="1D33330D"/>
    <w:rsid w:val="1D765338"/>
    <w:rsid w:val="1DA54F06"/>
    <w:rsid w:val="1DD75BFE"/>
    <w:rsid w:val="1F1F6BCF"/>
    <w:rsid w:val="1F7C4B1B"/>
    <w:rsid w:val="20FC20E8"/>
    <w:rsid w:val="21056915"/>
    <w:rsid w:val="21433A01"/>
    <w:rsid w:val="21FB6E23"/>
    <w:rsid w:val="2340011A"/>
    <w:rsid w:val="24FD7172"/>
    <w:rsid w:val="25706615"/>
    <w:rsid w:val="25D17126"/>
    <w:rsid w:val="26C4544F"/>
    <w:rsid w:val="284D6219"/>
    <w:rsid w:val="28824912"/>
    <w:rsid w:val="29530837"/>
    <w:rsid w:val="2A4A2FE8"/>
    <w:rsid w:val="2C716A47"/>
    <w:rsid w:val="2CB546A2"/>
    <w:rsid w:val="2CF22BF9"/>
    <w:rsid w:val="2D086045"/>
    <w:rsid w:val="2F714868"/>
    <w:rsid w:val="313D46B3"/>
    <w:rsid w:val="347A2331"/>
    <w:rsid w:val="35FD0067"/>
    <w:rsid w:val="377B031A"/>
    <w:rsid w:val="37BD677C"/>
    <w:rsid w:val="38C539AE"/>
    <w:rsid w:val="38FB1E62"/>
    <w:rsid w:val="396805E6"/>
    <w:rsid w:val="396E2F4D"/>
    <w:rsid w:val="3C781DB1"/>
    <w:rsid w:val="3D1B58AC"/>
    <w:rsid w:val="3D3A2AF2"/>
    <w:rsid w:val="3D6444D4"/>
    <w:rsid w:val="3F7336F1"/>
    <w:rsid w:val="40690BC5"/>
    <w:rsid w:val="40B0791B"/>
    <w:rsid w:val="40FA606C"/>
    <w:rsid w:val="430E7BEF"/>
    <w:rsid w:val="43800ACF"/>
    <w:rsid w:val="43B1189F"/>
    <w:rsid w:val="479C6E13"/>
    <w:rsid w:val="47D778CC"/>
    <w:rsid w:val="4B152213"/>
    <w:rsid w:val="4B58057D"/>
    <w:rsid w:val="4C841024"/>
    <w:rsid w:val="4E9800EE"/>
    <w:rsid w:val="4EAE05F5"/>
    <w:rsid w:val="4F45059B"/>
    <w:rsid w:val="4F723D22"/>
    <w:rsid w:val="527F4BF6"/>
    <w:rsid w:val="535308DB"/>
    <w:rsid w:val="547616A6"/>
    <w:rsid w:val="54774E4D"/>
    <w:rsid w:val="558D2A0B"/>
    <w:rsid w:val="57F76B3A"/>
    <w:rsid w:val="58953351"/>
    <w:rsid w:val="5A6C1E23"/>
    <w:rsid w:val="5C5027C8"/>
    <w:rsid w:val="5EB26108"/>
    <w:rsid w:val="5F831F82"/>
    <w:rsid w:val="5FCA7E17"/>
    <w:rsid w:val="602506D2"/>
    <w:rsid w:val="60CC0FF7"/>
    <w:rsid w:val="62712D02"/>
    <w:rsid w:val="63216518"/>
    <w:rsid w:val="63844ED9"/>
    <w:rsid w:val="64A63B6B"/>
    <w:rsid w:val="66477E7F"/>
    <w:rsid w:val="677E292F"/>
    <w:rsid w:val="6CE5258C"/>
    <w:rsid w:val="6DE84292"/>
    <w:rsid w:val="6EC406C8"/>
    <w:rsid w:val="6ED0268D"/>
    <w:rsid w:val="6F2E04BB"/>
    <w:rsid w:val="6FFE45C3"/>
    <w:rsid w:val="70833D16"/>
    <w:rsid w:val="71C844F8"/>
    <w:rsid w:val="72BD529B"/>
    <w:rsid w:val="72D864F0"/>
    <w:rsid w:val="73E334AB"/>
    <w:rsid w:val="754530BF"/>
    <w:rsid w:val="766A1AC3"/>
    <w:rsid w:val="76BE24CC"/>
    <w:rsid w:val="777225F7"/>
    <w:rsid w:val="77EF72E7"/>
    <w:rsid w:val="784F05E1"/>
    <w:rsid w:val="78B244B6"/>
    <w:rsid w:val="78C619F4"/>
    <w:rsid w:val="7927156D"/>
    <w:rsid w:val="7AED4971"/>
    <w:rsid w:val="7B21105E"/>
    <w:rsid w:val="7BA4599D"/>
    <w:rsid w:val="7C2455F7"/>
    <w:rsid w:val="7C92145B"/>
    <w:rsid w:val="7F513329"/>
    <w:rsid w:val="7F600CE2"/>
    <w:rsid w:val="7F99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2"/>
    <w:semiHidden/>
    <w:qFormat/>
    <w:uiPriority w:val="99"/>
    <w:rPr>
      <w:b/>
    </w:rPr>
  </w:style>
  <w:style w:type="paragraph" w:styleId="3">
    <w:name w:val="annotation text"/>
    <w:basedOn w:val="1"/>
    <w:link w:val="21"/>
    <w:semiHidden/>
    <w:qFormat/>
    <w:uiPriority w:val="99"/>
    <w:pPr>
      <w:jc w:val="left"/>
    </w:pPr>
    <w:rPr>
      <w:kern w:val="0"/>
      <w:sz w:val="24"/>
      <w:szCs w:val="20"/>
    </w:rPr>
  </w:style>
  <w:style w:type="paragraph" w:styleId="4">
    <w:name w:val="Body Text"/>
    <w:basedOn w:val="1"/>
    <w:link w:val="23"/>
    <w:qFormat/>
    <w:uiPriority w:val="99"/>
    <w:pPr>
      <w:spacing w:after="120"/>
    </w:pPr>
  </w:style>
  <w:style w:type="paragraph" w:styleId="5">
    <w:name w:val="Balloon Text"/>
    <w:basedOn w:val="1"/>
    <w:link w:val="18"/>
    <w:semiHidden/>
    <w:qFormat/>
    <w:uiPriority w:val="99"/>
    <w:rPr>
      <w:kern w:val="0"/>
      <w:sz w:val="2"/>
      <w:szCs w:val="20"/>
    </w:rPr>
  </w:style>
  <w:style w:type="paragraph" w:styleId="6">
    <w:name w:val="footer"/>
    <w:basedOn w:val="1"/>
    <w:link w:val="20"/>
    <w:qFormat/>
    <w:uiPriority w:val="99"/>
    <w:pPr>
      <w:tabs>
        <w:tab w:val="center" w:pos="4153"/>
        <w:tab w:val="right" w:pos="8306"/>
      </w:tabs>
      <w:snapToGrid w:val="0"/>
      <w:jc w:val="left"/>
    </w:pPr>
    <w:rPr>
      <w:kern w:val="0"/>
      <w:sz w:val="18"/>
      <w:szCs w:val="20"/>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20"/>
    </w:rPr>
  </w:style>
  <w:style w:type="character" w:styleId="9">
    <w:name w:val="page number"/>
    <w:qFormat/>
    <w:uiPriority w:val="99"/>
    <w:rPr>
      <w:rFonts w:cs="Times New Roman"/>
    </w:rPr>
  </w:style>
  <w:style w:type="character" w:styleId="10">
    <w:name w:val="Hyperlink"/>
    <w:qFormat/>
    <w:uiPriority w:val="99"/>
    <w:rPr>
      <w:rFonts w:cs="Times New Roman"/>
      <w:color w:val="0000FF"/>
      <w:u w:val="single"/>
    </w:rPr>
  </w:style>
  <w:style w:type="character" w:styleId="11">
    <w:name w:val="annotation reference"/>
    <w:semiHidden/>
    <w:qFormat/>
    <w:uiPriority w:val="99"/>
    <w:rPr>
      <w:rFonts w:cs="Times New Roman"/>
      <w:sz w:val="21"/>
    </w:rPr>
  </w:style>
  <w:style w:type="table" w:styleId="13">
    <w:name w:val="Table Grid"/>
    <w:basedOn w:val="1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Char1"/>
    <w:basedOn w:val="1"/>
    <w:qFormat/>
    <w:uiPriority w:val="99"/>
    <w:pPr>
      <w:keepNext/>
      <w:keepLines/>
    </w:pPr>
    <w:rPr>
      <w:szCs w:val="20"/>
    </w:rPr>
  </w:style>
  <w:style w:type="paragraph" w:customStyle="1" w:styleId="15">
    <w:name w:val="p0"/>
    <w:basedOn w:val="1"/>
    <w:qFormat/>
    <w:uiPriority w:val="99"/>
    <w:pPr>
      <w:widowControl/>
      <w:spacing w:before="100" w:beforeAutospacing="1" w:after="100" w:afterAutospacing="1"/>
      <w:jc w:val="left"/>
    </w:pPr>
    <w:rPr>
      <w:rFonts w:ascii="宋体" w:hAnsi="宋体" w:cs="宋体"/>
      <w:kern w:val="0"/>
      <w:sz w:val="24"/>
    </w:rPr>
  </w:style>
  <w:style w:type="paragraph" w:styleId="16">
    <w:name w:val="List Paragraph"/>
    <w:basedOn w:val="1"/>
    <w:qFormat/>
    <w:uiPriority w:val="99"/>
    <w:pPr>
      <w:ind w:firstLine="420" w:firstLineChars="200"/>
    </w:pPr>
    <w:rPr>
      <w:rFonts w:ascii="Calibri" w:hAnsi="Calibri"/>
      <w:szCs w:val="22"/>
    </w:rPr>
  </w:style>
  <w:style w:type="paragraph" w:customStyle="1" w:styleId="17">
    <w:name w:val="普通(网站) Char"/>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批注框文本 Char"/>
    <w:link w:val="5"/>
    <w:semiHidden/>
    <w:qFormat/>
    <w:locked/>
    <w:uiPriority w:val="99"/>
    <w:rPr>
      <w:rFonts w:ascii="Times New Roman" w:hAnsi="Times New Roman" w:eastAsia="宋体"/>
      <w:kern w:val="0"/>
      <w:sz w:val="2"/>
    </w:rPr>
  </w:style>
  <w:style w:type="character" w:customStyle="1" w:styleId="19">
    <w:name w:val="页眉 Char"/>
    <w:link w:val="7"/>
    <w:qFormat/>
    <w:locked/>
    <w:uiPriority w:val="99"/>
    <w:rPr>
      <w:rFonts w:ascii="Times New Roman" w:hAnsi="Times New Roman" w:eastAsia="宋体"/>
      <w:kern w:val="0"/>
      <w:sz w:val="18"/>
    </w:rPr>
  </w:style>
  <w:style w:type="character" w:customStyle="1" w:styleId="20">
    <w:name w:val="页脚 Char"/>
    <w:link w:val="6"/>
    <w:qFormat/>
    <w:locked/>
    <w:uiPriority w:val="99"/>
    <w:rPr>
      <w:rFonts w:ascii="Times New Roman" w:hAnsi="Times New Roman" w:eastAsia="宋体"/>
      <w:kern w:val="0"/>
      <w:sz w:val="18"/>
    </w:rPr>
  </w:style>
  <w:style w:type="character" w:customStyle="1" w:styleId="21">
    <w:name w:val="批注文字 Char"/>
    <w:link w:val="3"/>
    <w:semiHidden/>
    <w:qFormat/>
    <w:locked/>
    <w:uiPriority w:val="99"/>
    <w:rPr>
      <w:rFonts w:ascii="Times New Roman" w:hAnsi="Times New Roman"/>
      <w:sz w:val="24"/>
    </w:rPr>
  </w:style>
  <w:style w:type="character" w:customStyle="1" w:styleId="22">
    <w:name w:val="批注主题 Char"/>
    <w:link w:val="2"/>
    <w:semiHidden/>
    <w:qFormat/>
    <w:locked/>
    <w:uiPriority w:val="99"/>
    <w:rPr>
      <w:rFonts w:ascii="Times New Roman" w:hAnsi="Times New Roman"/>
      <w:b/>
      <w:sz w:val="24"/>
    </w:rPr>
  </w:style>
  <w:style w:type="character" w:customStyle="1" w:styleId="23">
    <w:name w:val="正文文本 Char"/>
    <w:basedOn w:val="8"/>
    <w:link w:val="4"/>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3526</Words>
  <Characters>3715</Characters>
  <Lines>27</Lines>
  <Paragraphs>7</Paragraphs>
  <TotalTime>237</TotalTime>
  <ScaleCrop>false</ScaleCrop>
  <LinksUpToDate>false</LinksUpToDate>
  <CharactersWithSpaces>3728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2020-03-17T09:36:00Z</dcterms:created>
  <dc:creator>Windows 用户</dc:creator>
  <cp:lastModifiedBy>user</cp:lastModifiedBy>
  <cp:lastPrinted>2021-04-08T05:33:00Z</cp:lastPrinted>
  <dcterms:modified xsi:type="dcterms:W3CDTF">2022-05-24T08:35:55Z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D597236E1FED4A2EA092586FFE7382C3</vt:lpwstr>
  </property>
</Properties>
</file>