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40"/>
          <w:szCs w:val="32"/>
        </w:rPr>
      </w:pPr>
      <w:r>
        <w:rPr>
          <w:rFonts w:hint="eastAsia" w:ascii="方正小标宋_GBK" w:hAnsi="Calibri" w:eastAsia="方正小标宋_GBK" w:cs="方正小标宋_GBK"/>
          <w:sz w:val="44"/>
          <w:szCs w:val="36"/>
        </w:rPr>
        <w:t>2023年度苏州工业园区会展业引导资金申报指南</w:t>
      </w:r>
    </w:p>
    <w:p>
      <w:pPr>
        <w:tabs>
          <w:tab w:val="left" w:pos="0"/>
        </w:tabs>
        <w:spacing w:before="156" w:beforeLines="50" w:after="156" w:afterLines="50" w:line="580" w:lineRule="exact"/>
        <w:jc w:val="center"/>
        <w:rPr>
          <w:rFonts w:ascii="仿宋_GB2312" w:eastAsia="仿宋_GB2312"/>
          <w:sz w:val="32"/>
          <w:szCs w:val="32"/>
        </w:rPr>
      </w:pPr>
    </w:p>
    <w:p>
      <w:pPr>
        <w:tabs>
          <w:tab w:val="left" w:pos="0"/>
        </w:tabs>
        <w:spacing w:before="156" w:beforeLines="50" w:after="156" w:afterLines="50" w:line="580" w:lineRule="exact"/>
        <w:jc w:val="center"/>
        <w:rPr>
          <w:rFonts w:eastAsia="黑体"/>
          <w:sz w:val="32"/>
          <w:szCs w:val="32"/>
        </w:rPr>
      </w:pPr>
      <w:r>
        <w:rPr>
          <w:rFonts w:hint="eastAsia" w:eastAsia="黑体"/>
          <w:sz w:val="32"/>
          <w:szCs w:val="32"/>
        </w:rPr>
        <w:t>第一章  申请条件</w:t>
      </w:r>
    </w:p>
    <w:p>
      <w:pPr>
        <w:spacing w:line="580" w:lineRule="exact"/>
        <w:ind w:firstLine="640" w:firstLineChars="200"/>
        <w:rPr>
          <w:rFonts w:eastAsia="仿宋"/>
          <w:sz w:val="32"/>
          <w:szCs w:val="32"/>
        </w:rPr>
      </w:pPr>
      <w:r>
        <w:rPr>
          <w:rFonts w:hint="eastAsia" w:eastAsia="仿宋"/>
          <w:sz w:val="32"/>
          <w:szCs w:val="32"/>
        </w:rPr>
        <w:t>凡申报会展业引导资金的单位和项目，必须同时符合以下基本条件：</w:t>
      </w:r>
    </w:p>
    <w:p>
      <w:pPr>
        <w:spacing w:line="580" w:lineRule="exact"/>
        <w:ind w:firstLine="640" w:firstLineChars="200"/>
        <w:rPr>
          <w:rFonts w:eastAsia="仿宋"/>
          <w:sz w:val="32"/>
          <w:szCs w:val="32"/>
        </w:rPr>
      </w:pPr>
      <w:r>
        <w:rPr>
          <w:rFonts w:hint="eastAsia" w:eastAsia="仿宋"/>
          <w:sz w:val="32"/>
          <w:szCs w:val="32"/>
        </w:rPr>
        <w:t>1、项目申报单位必须是依法登记注册的企业或社会组织，财务管理制度健全，会计核算规范，合法合规经营。</w:t>
      </w:r>
    </w:p>
    <w:p>
      <w:pPr>
        <w:spacing w:line="580" w:lineRule="exact"/>
        <w:ind w:firstLine="640" w:firstLineChars="200"/>
        <w:rPr>
          <w:rFonts w:eastAsia="仿宋"/>
          <w:sz w:val="32"/>
          <w:szCs w:val="32"/>
        </w:rPr>
      </w:pPr>
      <w:r>
        <w:rPr>
          <w:rFonts w:hint="eastAsia" w:eastAsia="仿宋"/>
          <w:sz w:val="32"/>
          <w:szCs w:val="32"/>
        </w:rPr>
        <w:t>2、项目申报单位须为会展主办单位或者承办单位其中一方，不得多方共同申报。</w:t>
      </w:r>
    </w:p>
    <w:p>
      <w:pPr>
        <w:spacing w:line="580" w:lineRule="exact"/>
        <w:ind w:firstLine="640" w:firstLineChars="200"/>
        <w:rPr>
          <w:rFonts w:eastAsia="仿宋"/>
          <w:sz w:val="32"/>
          <w:szCs w:val="32"/>
        </w:rPr>
      </w:pPr>
      <w:r>
        <w:rPr>
          <w:rFonts w:hint="eastAsia" w:eastAsia="仿宋"/>
          <w:sz w:val="32"/>
          <w:szCs w:val="32"/>
        </w:rPr>
        <w:t>3、项目申报及实施单位近两年内无严重失信行为。</w:t>
      </w:r>
    </w:p>
    <w:p>
      <w:pPr>
        <w:spacing w:line="580" w:lineRule="exact"/>
        <w:ind w:firstLine="640" w:firstLineChars="200"/>
        <w:rPr>
          <w:rFonts w:eastAsia="仿宋"/>
          <w:sz w:val="32"/>
          <w:szCs w:val="32"/>
        </w:rPr>
      </w:pPr>
      <w:r>
        <w:rPr>
          <w:rFonts w:hint="eastAsia" w:eastAsia="仿宋"/>
          <w:sz w:val="32"/>
          <w:szCs w:val="32"/>
        </w:rPr>
        <w:t>4、对同一企业在当年度举办同一主题的会展项目，按就高不重复原则办理。</w:t>
      </w:r>
    </w:p>
    <w:p>
      <w:pPr>
        <w:spacing w:line="580" w:lineRule="exact"/>
        <w:ind w:firstLine="640" w:firstLineChars="200"/>
        <w:rPr>
          <w:rFonts w:eastAsia="仿宋"/>
          <w:sz w:val="32"/>
          <w:szCs w:val="32"/>
        </w:rPr>
      </w:pPr>
      <w:r>
        <w:rPr>
          <w:rFonts w:hint="eastAsia" w:eastAsia="仿宋"/>
          <w:sz w:val="32"/>
          <w:szCs w:val="32"/>
        </w:rPr>
        <w:t>5、国际展会指境外法人、组织、个人或受其委托的境内分支机构、组织、个人举办的展会。</w:t>
      </w:r>
    </w:p>
    <w:p>
      <w:pPr>
        <w:spacing w:line="580" w:lineRule="exact"/>
        <w:ind w:firstLine="640" w:firstLineChars="200"/>
        <w:rPr>
          <w:rFonts w:eastAsia="仿宋"/>
          <w:sz w:val="32"/>
          <w:szCs w:val="32"/>
        </w:rPr>
      </w:pPr>
      <w:r>
        <w:rPr>
          <w:rFonts w:hint="eastAsia" w:eastAsia="仿宋"/>
          <w:sz w:val="32"/>
          <w:szCs w:val="32"/>
        </w:rPr>
        <w:t>6、</w:t>
      </w:r>
      <w:r>
        <w:rPr>
          <w:rFonts w:hint="eastAsia" w:eastAsia="仿宋"/>
          <w:color w:val="000000"/>
          <w:sz w:val="32"/>
          <w:szCs w:val="32"/>
        </w:rPr>
        <w:t>园区展览淡季为每年1-2月及7-8月</w:t>
      </w:r>
      <w:r>
        <w:rPr>
          <w:rFonts w:hint="eastAsia" w:eastAsia="仿宋"/>
          <w:sz w:val="32"/>
          <w:szCs w:val="32"/>
        </w:rPr>
        <w:t>。在淡季举办的展览符合以上扶持条件的，在原有补贴额的基础上最高上浮30%兑现。</w:t>
      </w:r>
    </w:p>
    <w:p>
      <w:pPr>
        <w:spacing w:line="580" w:lineRule="exact"/>
        <w:ind w:firstLine="640" w:firstLineChars="200"/>
        <w:rPr>
          <w:rFonts w:eastAsia="仿宋"/>
          <w:sz w:val="32"/>
          <w:szCs w:val="32"/>
        </w:rPr>
      </w:pPr>
      <w:r>
        <w:rPr>
          <w:rFonts w:hint="eastAsia" w:eastAsia="仿宋"/>
          <w:sz w:val="32"/>
          <w:szCs w:val="32"/>
        </w:rPr>
        <w:t>7、</w:t>
      </w:r>
      <w:r>
        <w:rPr>
          <w:rFonts w:hint="eastAsia" w:eastAsia="仿宋_GB2312"/>
          <w:sz w:val="32"/>
          <w:szCs w:val="32"/>
        </w:rPr>
        <w:t>本项目中新增指的是2022年对比2021年，其他发生额是对2022年发生的数据进行申报，</w:t>
      </w:r>
      <w:r>
        <w:rPr>
          <w:rFonts w:hint="eastAsia" w:ascii="仿宋_GB2312" w:eastAsia="仿宋_GB2312"/>
          <w:sz w:val="32"/>
          <w:szCs w:val="32"/>
        </w:rPr>
        <w:t>落户奖励针对的是2022年1月1日后</w:t>
      </w:r>
      <w:r>
        <w:rPr>
          <w:rFonts w:hint="eastAsia" w:eastAsia="仿宋_GB2312"/>
          <w:sz w:val="32"/>
          <w:szCs w:val="32"/>
        </w:rPr>
        <w:t>新注册企业。</w:t>
      </w:r>
    </w:p>
    <w:p>
      <w:pPr>
        <w:tabs>
          <w:tab w:val="left" w:pos="0"/>
        </w:tabs>
        <w:spacing w:before="156" w:beforeLines="50" w:after="156" w:afterLines="50" w:line="580" w:lineRule="exact"/>
        <w:jc w:val="center"/>
        <w:rPr>
          <w:rFonts w:ascii="黑体" w:hAnsi="黑体" w:eastAsia="黑体"/>
          <w:sz w:val="32"/>
          <w:szCs w:val="32"/>
        </w:rPr>
      </w:pPr>
      <w:r>
        <w:rPr>
          <w:rFonts w:hint="eastAsia" w:ascii="黑体" w:hAnsi="黑体" w:eastAsia="黑体"/>
          <w:sz w:val="32"/>
          <w:szCs w:val="32"/>
        </w:rPr>
        <w:t>第二章 通用材料</w:t>
      </w:r>
    </w:p>
    <w:p>
      <w:pPr>
        <w:spacing w:line="580" w:lineRule="exact"/>
        <w:rPr>
          <w:rFonts w:eastAsia="仿宋_GB2312"/>
          <w:sz w:val="32"/>
          <w:szCs w:val="32"/>
        </w:rPr>
      </w:pPr>
      <w:r>
        <w:rPr>
          <w:rFonts w:hint="eastAsia" w:eastAsia="仿宋_GB2312"/>
          <w:sz w:val="32"/>
          <w:szCs w:val="32"/>
        </w:rPr>
        <w:t>1、</w:t>
      </w:r>
      <w:r>
        <w:rPr>
          <w:rFonts w:eastAsia="仿宋_GB2312"/>
          <w:sz w:val="32"/>
          <w:szCs w:val="32"/>
        </w:rPr>
        <w:t>统一社会信用代码复印件。</w:t>
      </w:r>
    </w:p>
    <w:p>
      <w:pPr>
        <w:spacing w:line="580" w:lineRule="exact"/>
        <w:rPr>
          <w:rFonts w:eastAsia="仿宋_GB2312"/>
          <w:sz w:val="32"/>
          <w:szCs w:val="32"/>
        </w:rPr>
      </w:pPr>
      <w:r>
        <w:rPr>
          <w:rFonts w:hint="eastAsia" w:eastAsia="仿宋_GB2312"/>
          <w:sz w:val="32"/>
          <w:szCs w:val="32"/>
        </w:rPr>
        <w:t>2、会展业引导</w:t>
      </w:r>
      <w:r>
        <w:rPr>
          <w:rFonts w:eastAsia="仿宋_GB2312"/>
          <w:sz w:val="32"/>
          <w:szCs w:val="32"/>
        </w:rPr>
        <w:t>资金申请表（附件</w:t>
      </w:r>
      <w:r>
        <w:rPr>
          <w:rFonts w:hint="eastAsia" w:eastAsia="仿宋_GB2312"/>
          <w:sz w:val="32"/>
          <w:szCs w:val="32"/>
        </w:rPr>
        <w:t>3-1</w:t>
      </w:r>
      <w:r>
        <w:rPr>
          <w:rFonts w:eastAsia="仿宋_GB2312"/>
          <w:sz w:val="32"/>
          <w:szCs w:val="32"/>
        </w:rPr>
        <w:t>）。</w:t>
      </w:r>
    </w:p>
    <w:p>
      <w:pPr>
        <w:spacing w:line="580" w:lineRule="exact"/>
        <w:rPr>
          <w:rFonts w:eastAsia="仿宋_GB2312"/>
          <w:sz w:val="32"/>
          <w:szCs w:val="32"/>
        </w:rPr>
      </w:pPr>
      <w:r>
        <w:rPr>
          <w:rFonts w:hint="eastAsia" w:eastAsia="仿宋_GB2312"/>
          <w:sz w:val="32"/>
          <w:szCs w:val="32"/>
        </w:rPr>
        <w:t>3、</w:t>
      </w:r>
      <w:r>
        <w:rPr>
          <w:rFonts w:eastAsia="仿宋_GB2312"/>
          <w:sz w:val="32"/>
          <w:szCs w:val="32"/>
        </w:rPr>
        <w:t>项目申报报告（</w:t>
      </w:r>
      <w:r>
        <w:rPr>
          <w:rFonts w:hint="eastAsia" w:eastAsia="仿宋_GB2312"/>
          <w:sz w:val="32"/>
          <w:szCs w:val="32"/>
        </w:rPr>
        <w:t>附件3-2，</w:t>
      </w:r>
      <w:r>
        <w:rPr>
          <w:rFonts w:eastAsia="仿宋_GB2312"/>
          <w:sz w:val="32"/>
          <w:szCs w:val="32"/>
        </w:rPr>
        <w:t>包含企业基本情况和申报项目介绍，含建设情况、成效和发展规划</w:t>
      </w:r>
      <w:r>
        <w:rPr>
          <w:rFonts w:hint="eastAsia" w:eastAsia="仿宋_GB2312"/>
          <w:sz w:val="32"/>
          <w:szCs w:val="32"/>
        </w:rPr>
        <w:t>等</w:t>
      </w:r>
      <w:r>
        <w:rPr>
          <w:rFonts w:eastAsia="仿宋_GB2312"/>
          <w:sz w:val="32"/>
          <w:szCs w:val="32"/>
        </w:rPr>
        <w:t>）。</w:t>
      </w:r>
    </w:p>
    <w:p>
      <w:pPr>
        <w:spacing w:line="580" w:lineRule="exact"/>
        <w:rPr>
          <w:rFonts w:eastAsia="仿宋_GB2312"/>
          <w:sz w:val="32"/>
          <w:szCs w:val="32"/>
        </w:rPr>
      </w:pPr>
      <w:r>
        <w:rPr>
          <w:rFonts w:hint="eastAsia" w:eastAsia="仿宋_GB2312"/>
          <w:sz w:val="32"/>
          <w:szCs w:val="32"/>
        </w:rPr>
        <w:t>4、园区外企业需提供近二年企业信用查询报告。</w:t>
      </w:r>
      <w:r>
        <w:rPr>
          <w:rFonts w:eastAsia="仿宋_GB2312"/>
          <w:sz w:val="32"/>
          <w:szCs w:val="32"/>
        </w:rPr>
        <w:t xml:space="preserve"> </w:t>
      </w:r>
    </w:p>
    <w:p>
      <w:pPr>
        <w:spacing w:line="580" w:lineRule="exact"/>
        <w:ind w:firstLine="640" w:firstLineChars="200"/>
        <w:rPr>
          <w:rFonts w:eastAsia="仿宋_GB2312"/>
          <w:sz w:val="32"/>
          <w:szCs w:val="32"/>
        </w:rPr>
      </w:pPr>
      <w:r>
        <w:rPr>
          <w:rFonts w:eastAsia="仿宋_GB2312"/>
          <w:sz w:val="32"/>
          <w:szCs w:val="32"/>
        </w:rPr>
        <w:t>所有材料均须加盖企业公章。</w:t>
      </w:r>
      <w:r>
        <w:rPr>
          <w:rFonts w:hint="eastAsia" w:eastAsia="仿宋_GB2312"/>
          <w:sz w:val="32"/>
          <w:szCs w:val="32"/>
        </w:rPr>
        <w:t>具体</w:t>
      </w:r>
      <w:r>
        <w:rPr>
          <w:rFonts w:eastAsia="仿宋_GB2312"/>
          <w:sz w:val="32"/>
          <w:szCs w:val="32"/>
        </w:rPr>
        <w:t>申报项目，还须提供</w:t>
      </w:r>
      <w:r>
        <w:rPr>
          <w:rFonts w:hint="eastAsia" w:eastAsia="仿宋_GB2312"/>
          <w:sz w:val="32"/>
          <w:szCs w:val="32"/>
        </w:rPr>
        <w:t>专项</w:t>
      </w:r>
      <w:r>
        <w:rPr>
          <w:rFonts w:eastAsia="仿宋_GB2312"/>
          <w:sz w:val="32"/>
          <w:szCs w:val="32"/>
        </w:rPr>
        <w:t>证明材料</w:t>
      </w:r>
      <w:r>
        <w:rPr>
          <w:rFonts w:hint="eastAsia" w:eastAsia="仿宋_GB2312"/>
          <w:sz w:val="32"/>
          <w:szCs w:val="32"/>
        </w:rPr>
        <w:t>。</w:t>
      </w:r>
    </w:p>
    <w:p>
      <w:pPr>
        <w:spacing w:line="580" w:lineRule="exact"/>
        <w:ind w:firstLine="640" w:firstLineChars="200"/>
        <w:jc w:val="center"/>
        <w:rPr>
          <w:rFonts w:ascii="黑体" w:hAnsi="黑体" w:eastAsia="黑体"/>
          <w:sz w:val="32"/>
          <w:szCs w:val="32"/>
        </w:rPr>
      </w:pPr>
      <w:r>
        <w:rPr>
          <w:rFonts w:hint="eastAsia" w:ascii="黑体" w:hAnsi="黑体" w:eastAsia="黑体"/>
          <w:sz w:val="32"/>
          <w:szCs w:val="32"/>
        </w:rPr>
        <w:t>第三章 申报类别</w:t>
      </w:r>
    </w:p>
    <w:p>
      <w:pPr>
        <w:rPr>
          <w:rFonts w:ascii="黑体" w:hAnsi="黑体" w:eastAsia="黑体" w:cs="黑体"/>
          <w:sz w:val="32"/>
          <w:szCs w:val="40"/>
        </w:rPr>
      </w:pPr>
      <w:r>
        <w:rPr>
          <w:rFonts w:hint="eastAsia" w:ascii="黑体" w:hAnsi="黑体" w:eastAsia="黑体" w:cs="黑体"/>
          <w:sz w:val="32"/>
          <w:szCs w:val="40"/>
        </w:rPr>
        <w:t>一、鼓励主办方落户</w:t>
      </w:r>
    </w:p>
    <w:p>
      <w:pPr>
        <w:widowControl/>
        <w:shd w:val="clear" w:color="auto" w:fill="FFFFFF"/>
        <w:spacing w:line="580" w:lineRule="exact"/>
        <w:ind w:firstLine="640" w:firstLineChars="200"/>
        <w:rPr>
          <w:rFonts w:eastAsia="仿宋" w:cs="宋体"/>
          <w:kern w:val="0"/>
          <w:sz w:val="32"/>
          <w:szCs w:val="32"/>
        </w:rPr>
      </w:pPr>
      <w:r>
        <w:rPr>
          <w:rFonts w:hint="eastAsia" w:eastAsia="仿宋" w:cs="宋体"/>
          <w:kern w:val="0"/>
          <w:sz w:val="32"/>
          <w:szCs w:val="32"/>
        </w:rPr>
        <w:t>国内外会展企业在园区新注册落户，设立独立法人机构，且当年度在园区举办会展项目、年会展营业额达到2</w:t>
      </w:r>
      <w:r>
        <w:rPr>
          <w:rFonts w:eastAsia="仿宋" w:cs="宋体"/>
          <w:kern w:val="0"/>
          <w:sz w:val="32"/>
          <w:szCs w:val="32"/>
        </w:rPr>
        <w:t>00万以上</w:t>
      </w:r>
      <w:r>
        <w:rPr>
          <w:rFonts w:hint="eastAsia" w:eastAsia="仿宋" w:cs="宋体"/>
          <w:kern w:val="0"/>
          <w:sz w:val="32"/>
          <w:szCs w:val="32"/>
        </w:rPr>
        <w:t>及5</w:t>
      </w:r>
      <w:r>
        <w:rPr>
          <w:rFonts w:eastAsia="仿宋" w:cs="宋体"/>
          <w:kern w:val="0"/>
          <w:sz w:val="32"/>
          <w:szCs w:val="32"/>
        </w:rPr>
        <w:t>00万元以下的</w:t>
      </w:r>
      <w:r>
        <w:rPr>
          <w:rFonts w:hint="eastAsia" w:eastAsia="仿宋" w:cs="宋体"/>
          <w:kern w:val="0"/>
          <w:sz w:val="32"/>
          <w:szCs w:val="32"/>
        </w:rPr>
        <w:t>，一次性给予不超过</w:t>
      </w:r>
      <w:r>
        <w:rPr>
          <w:rFonts w:eastAsia="仿宋" w:cs="宋体"/>
          <w:kern w:val="0"/>
          <w:sz w:val="32"/>
          <w:szCs w:val="32"/>
        </w:rPr>
        <w:t>10</w:t>
      </w:r>
      <w:r>
        <w:rPr>
          <w:rFonts w:hint="eastAsia" w:eastAsia="仿宋" w:cs="宋体"/>
          <w:kern w:val="0"/>
          <w:sz w:val="32"/>
          <w:szCs w:val="32"/>
        </w:rPr>
        <w:t>万元的奖励；营业额达到5</w:t>
      </w:r>
      <w:r>
        <w:rPr>
          <w:rFonts w:eastAsia="仿宋" w:cs="宋体"/>
          <w:kern w:val="0"/>
          <w:sz w:val="32"/>
          <w:szCs w:val="32"/>
        </w:rPr>
        <w:t>00万元以上</w:t>
      </w:r>
      <w:r>
        <w:rPr>
          <w:rFonts w:hint="eastAsia" w:eastAsia="仿宋" w:cs="宋体"/>
          <w:kern w:val="0"/>
          <w:sz w:val="32"/>
          <w:szCs w:val="32"/>
        </w:rPr>
        <w:t>及1</w:t>
      </w:r>
      <w:r>
        <w:rPr>
          <w:rFonts w:eastAsia="仿宋" w:cs="宋体"/>
          <w:kern w:val="0"/>
          <w:sz w:val="32"/>
          <w:szCs w:val="32"/>
        </w:rPr>
        <w:t>000</w:t>
      </w:r>
      <w:r>
        <w:rPr>
          <w:rFonts w:hint="eastAsia" w:eastAsia="仿宋" w:cs="宋体"/>
          <w:kern w:val="0"/>
          <w:sz w:val="32"/>
          <w:szCs w:val="32"/>
        </w:rPr>
        <w:t>万元以下的，一次性给予不超过</w:t>
      </w:r>
      <w:r>
        <w:rPr>
          <w:rFonts w:eastAsia="仿宋" w:cs="宋体"/>
          <w:kern w:val="0"/>
          <w:sz w:val="32"/>
          <w:szCs w:val="32"/>
        </w:rPr>
        <w:t>30</w:t>
      </w:r>
      <w:r>
        <w:rPr>
          <w:rFonts w:hint="eastAsia" w:eastAsia="仿宋" w:cs="宋体"/>
          <w:kern w:val="0"/>
          <w:sz w:val="32"/>
          <w:szCs w:val="32"/>
        </w:rPr>
        <w:t>万元的奖励；营业额达到1</w:t>
      </w:r>
      <w:r>
        <w:rPr>
          <w:rFonts w:eastAsia="仿宋" w:cs="宋体"/>
          <w:kern w:val="0"/>
          <w:sz w:val="32"/>
          <w:szCs w:val="32"/>
        </w:rPr>
        <w:t>000万元及以上的</w:t>
      </w:r>
      <w:r>
        <w:rPr>
          <w:rFonts w:hint="eastAsia" w:eastAsia="仿宋" w:cs="宋体"/>
          <w:kern w:val="0"/>
          <w:sz w:val="32"/>
          <w:szCs w:val="32"/>
        </w:rPr>
        <w:t>，一次性给予不超过</w:t>
      </w:r>
      <w:r>
        <w:rPr>
          <w:rFonts w:eastAsia="仿宋" w:cs="宋体"/>
          <w:kern w:val="0"/>
          <w:sz w:val="32"/>
          <w:szCs w:val="32"/>
        </w:rPr>
        <w:t>50</w:t>
      </w:r>
      <w:r>
        <w:rPr>
          <w:rFonts w:hint="eastAsia" w:eastAsia="仿宋" w:cs="宋体"/>
          <w:kern w:val="0"/>
          <w:sz w:val="32"/>
          <w:szCs w:val="32"/>
        </w:rPr>
        <w:t>万元的奖励。</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eastAsia="仿宋" w:cs="宋体"/>
          <w:kern w:val="0"/>
          <w:sz w:val="32"/>
          <w:szCs w:val="32"/>
        </w:rPr>
      </w:pPr>
      <w:r>
        <w:rPr>
          <w:rFonts w:hint="eastAsia" w:eastAsia="仿宋" w:cs="宋体"/>
          <w:kern w:val="0"/>
          <w:sz w:val="32"/>
          <w:szCs w:val="32"/>
        </w:rPr>
        <w:t>1、</w:t>
      </w:r>
      <w:r>
        <w:rPr>
          <w:rFonts w:eastAsia="仿宋" w:cs="宋体"/>
          <w:kern w:val="0"/>
          <w:sz w:val="32"/>
          <w:szCs w:val="32"/>
        </w:rPr>
        <w:t>2022年度审计报告</w:t>
      </w:r>
      <w:r>
        <w:rPr>
          <w:rFonts w:hint="eastAsia" w:eastAsia="仿宋" w:cs="宋体"/>
          <w:kern w:val="0"/>
          <w:sz w:val="32"/>
          <w:szCs w:val="32"/>
        </w:rPr>
        <w:t>；</w:t>
      </w:r>
    </w:p>
    <w:p>
      <w:pPr>
        <w:contextualSpacing/>
        <w:rPr>
          <w:rFonts w:eastAsia="仿宋" w:cs="宋体"/>
          <w:kern w:val="0"/>
          <w:sz w:val="32"/>
          <w:szCs w:val="32"/>
        </w:rPr>
      </w:pPr>
      <w:r>
        <w:rPr>
          <w:rFonts w:hint="eastAsia" w:eastAsia="仿宋" w:cs="宋体"/>
          <w:kern w:val="0"/>
          <w:sz w:val="32"/>
          <w:szCs w:val="32"/>
        </w:rPr>
        <w:t>2、</w:t>
      </w:r>
      <w:r>
        <w:rPr>
          <w:rFonts w:eastAsia="仿宋" w:cs="宋体"/>
          <w:kern w:val="0"/>
          <w:sz w:val="32"/>
          <w:szCs w:val="32"/>
        </w:rPr>
        <w:t>2022年举办会展项目的证明材料</w:t>
      </w:r>
      <w:r>
        <w:rPr>
          <w:rFonts w:hint="eastAsia" w:eastAsia="仿宋" w:cs="宋体"/>
          <w:kern w:val="0"/>
          <w:sz w:val="32"/>
          <w:szCs w:val="32"/>
        </w:rPr>
        <w:t>（例：展会介绍、场地租赁合同、媒体报道等）。</w:t>
      </w:r>
    </w:p>
    <w:p>
      <w:pPr>
        <w:contextualSpacing/>
        <w:rPr>
          <w:rFonts w:ascii="黑体" w:hAnsi="黑体" w:eastAsia="黑体" w:cs="黑体"/>
          <w:sz w:val="32"/>
          <w:szCs w:val="40"/>
        </w:rPr>
      </w:pPr>
      <w:r>
        <w:rPr>
          <w:rFonts w:hint="eastAsia" w:ascii="黑体" w:hAnsi="黑体" w:eastAsia="黑体" w:cs="黑体"/>
          <w:sz w:val="32"/>
          <w:szCs w:val="40"/>
        </w:rPr>
        <w:t>二、</w:t>
      </w:r>
      <w:r>
        <w:rPr>
          <w:rFonts w:ascii="黑体" w:hAnsi="黑体" w:eastAsia="黑体" w:cs="黑体"/>
          <w:sz w:val="32"/>
          <w:szCs w:val="40"/>
        </w:rPr>
        <w:t>鼓励主办方做大做强</w:t>
      </w:r>
    </w:p>
    <w:p>
      <w:pPr>
        <w:widowControl/>
        <w:shd w:val="clear" w:color="auto" w:fill="FFFFFF"/>
        <w:ind w:firstLine="640" w:firstLineChars="200"/>
        <w:contextualSpacing/>
        <w:rPr>
          <w:rFonts w:eastAsia="仿宋" w:cs="宋体"/>
          <w:color w:val="000000"/>
          <w:kern w:val="0"/>
          <w:sz w:val="32"/>
          <w:szCs w:val="32"/>
        </w:rPr>
      </w:pPr>
      <w:r>
        <w:rPr>
          <w:rFonts w:eastAsia="仿宋" w:cs="宋体"/>
          <w:color w:val="000000"/>
          <w:kern w:val="0"/>
          <w:sz w:val="32"/>
          <w:szCs w:val="32"/>
        </w:rPr>
        <w:t>对于在园区扎根发展</w:t>
      </w:r>
      <w:r>
        <w:rPr>
          <w:rFonts w:hint="eastAsia" w:eastAsia="仿宋" w:cs="宋体"/>
          <w:color w:val="000000"/>
          <w:kern w:val="0"/>
          <w:sz w:val="32"/>
          <w:szCs w:val="32"/>
        </w:rPr>
        <w:t>的主办方独立法人</w:t>
      </w:r>
      <w:r>
        <w:rPr>
          <w:rFonts w:eastAsia="仿宋" w:cs="宋体"/>
          <w:color w:val="000000"/>
          <w:kern w:val="0"/>
          <w:sz w:val="32"/>
          <w:szCs w:val="32"/>
        </w:rPr>
        <w:t>，根据企业综合经营贡献较前两年度最高值增量，给予不超过增量部分60%，每家企业最高不超过50万元奖励</w:t>
      </w:r>
      <w:r>
        <w:rPr>
          <w:rFonts w:hint="eastAsia" w:eastAsia="仿宋" w:cs="宋体"/>
          <w:color w:val="000000"/>
          <w:kern w:val="0"/>
          <w:sz w:val="32"/>
          <w:szCs w:val="32"/>
        </w:rPr>
        <w:t>；</w:t>
      </w:r>
      <w:r>
        <w:rPr>
          <w:rFonts w:hint="eastAsia" w:ascii="仿宋_GB2312" w:hAnsi="宋体" w:eastAsia="仿宋_GB2312" w:cs="宋体"/>
          <w:kern w:val="0"/>
          <w:sz w:val="32"/>
          <w:szCs w:val="32"/>
        </w:rPr>
        <w:t>在园区扩租自用办公用房的，给予</w:t>
      </w:r>
      <w:r>
        <w:rPr>
          <w:rFonts w:ascii="宋体" w:hAnsi="宋体" w:eastAsia="仿宋" w:cs="宋体"/>
          <w:kern w:val="0"/>
          <w:sz w:val="32"/>
          <w:szCs w:val="32"/>
        </w:rPr>
        <w:t>每</w:t>
      </w:r>
      <w:r>
        <w:rPr>
          <w:rFonts w:eastAsia="仿宋" w:cs="宋体"/>
          <w:color w:val="000000"/>
          <w:kern w:val="0"/>
          <w:sz w:val="32"/>
          <w:szCs w:val="32"/>
        </w:rPr>
        <w:t>平方米补贴金额最高不超过40元/月</w:t>
      </w:r>
      <w:r>
        <w:rPr>
          <w:rFonts w:hint="eastAsia" w:eastAsia="仿宋" w:cs="宋体"/>
          <w:color w:val="000000"/>
          <w:kern w:val="0"/>
          <w:sz w:val="32"/>
          <w:szCs w:val="32"/>
        </w:rPr>
        <w:t>，年补贴总额不超过50万元。</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eastAsia="仿宋" w:cs="宋体"/>
          <w:kern w:val="0"/>
          <w:sz w:val="32"/>
          <w:szCs w:val="32"/>
        </w:rPr>
      </w:pPr>
      <w:r>
        <w:rPr>
          <w:rFonts w:hint="eastAsia" w:eastAsia="仿宋" w:cs="宋体"/>
          <w:kern w:val="0"/>
          <w:sz w:val="32"/>
          <w:szCs w:val="32"/>
        </w:rPr>
        <w:t>1、连续三年在园区举办会展项目的证明材料（例：展会介绍、场地租赁合同、媒体报道等）；</w:t>
      </w:r>
    </w:p>
    <w:p>
      <w:pPr>
        <w:contextualSpacing/>
        <w:rPr>
          <w:rFonts w:eastAsia="仿宋" w:cs="宋体"/>
          <w:kern w:val="0"/>
          <w:sz w:val="32"/>
          <w:szCs w:val="32"/>
        </w:rPr>
      </w:pPr>
      <w:r>
        <w:rPr>
          <w:rFonts w:hint="eastAsia" w:eastAsia="仿宋" w:cs="宋体"/>
          <w:kern w:val="0"/>
          <w:sz w:val="32"/>
          <w:szCs w:val="32"/>
        </w:rPr>
        <w:t>2、</w:t>
      </w:r>
      <w:r>
        <w:rPr>
          <w:rFonts w:hint="eastAsia" w:ascii="仿宋_GB2312" w:hAnsi="仿宋_GB2312" w:eastAsia="仿宋_GB2312" w:cs="仿宋_GB2312"/>
          <w:sz w:val="32"/>
          <w:szCs w:val="40"/>
        </w:rPr>
        <w:t>如需申请扩租奖励还需提供：2022年度和2021年度房租租赁协议、房租发票及支付凭证。</w:t>
      </w:r>
    </w:p>
    <w:p>
      <w:pPr>
        <w:rPr>
          <w:rFonts w:ascii="黑体" w:hAnsi="黑体" w:eastAsia="黑体" w:cs="黑体"/>
          <w:sz w:val="32"/>
          <w:szCs w:val="40"/>
        </w:rPr>
      </w:pPr>
      <w:r>
        <w:rPr>
          <w:rFonts w:ascii="黑体" w:hAnsi="黑体" w:eastAsia="黑体" w:cs="黑体"/>
          <w:sz w:val="32"/>
          <w:szCs w:val="40"/>
        </w:rPr>
        <w:t>三</w:t>
      </w:r>
      <w:r>
        <w:rPr>
          <w:rFonts w:hint="eastAsia" w:ascii="黑体" w:hAnsi="黑体" w:eastAsia="黑体" w:cs="黑体"/>
          <w:sz w:val="32"/>
          <w:szCs w:val="40"/>
        </w:rPr>
        <w:t>、</w:t>
      </w:r>
      <w:r>
        <w:rPr>
          <w:rFonts w:ascii="黑体" w:hAnsi="黑体" w:eastAsia="黑体" w:cs="黑体"/>
          <w:sz w:val="32"/>
          <w:szCs w:val="40"/>
        </w:rPr>
        <w:t>展览支持</w:t>
      </w:r>
    </w:p>
    <w:p>
      <w:pPr>
        <w:spacing w:line="580" w:lineRule="exact"/>
        <w:ind w:firstLine="643" w:firstLineChars="200"/>
        <w:rPr>
          <w:rFonts w:eastAsia="仿宋"/>
          <w:color w:val="000000"/>
          <w:sz w:val="32"/>
          <w:szCs w:val="32"/>
        </w:rPr>
      </w:pPr>
      <w:r>
        <w:rPr>
          <w:rFonts w:ascii="楷体" w:hAnsi="楷体" w:eastAsia="楷体"/>
          <w:b/>
          <w:sz w:val="32"/>
          <w:szCs w:val="32"/>
        </w:rPr>
        <w:t>（一）</w:t>
      </w:r>
      <w:r>
        <w:rPr>
          <w:rFonts w:hint="eastAsia" w:ascii="楷体" w:hAnsi="楷体" w:eastAsia="楷体"/>
          <w:b/>
          <w:sz w:val="32"/>
          <w:szCs w:val="32"/>
        </w:rPr>
        <w:t>活力提升类展。</w:t>
      </w:r>
      <w:r>
        <w:rPr>
          <w:rFonts w:eastAsia="仿宋"/>
          <w:color w:val="000000"/>
          <w:sz w:val="32"/>
          <w:szCs w:val="32"/>
        </w:rPr>
        <w:t>重点扶持</w:t>
      </w:r>
      <w:r>
        <w:rPr>
          <w:rFonts w:hint="eastAsia" w:eastAsia="仿宋"/>
          <w:color w:val="000000"/>
          <w:sz w:val="32"/>
          <w:szCs w:val="32"/>
        </w:rPr>
        <w:t>数字贸易、数字娱乐</w:t>
      </w:r>
      <w:r>
        <w:rPr>
          <w:rFonts w:eastAsia="仿宋"/>
          <w:color w:val="000000"/>
          <w:sz w:val="32"/>
          <w:szCs w:val="32"/>
        </w:rPr>
        <w:t>、</w:t>
      </w:r>
      <w:r>
        <w:rPr>
          <w:rFonts w:hint="eastAsia" w:eastAsia="仿宋"/>
          <w:color w:val="000000"/>
          <w:sz w:val="32"/>
          <w:szCs w:val="32"/>
        </w:rPr>
        <w:t>潮流潮玩、时尚艺术、高端消费、电商促进、MCN等促进园区活力提升</w:t>
      </w:r>
      <w:r>
        <w:rPr>
          <w:rFonts w:eastAsia="仿宋"/>
          <w:color w:val="000000"/>
          <w:sz w:val="32"/>
          <w:szCs w:val="32"/>
        </w:rPr>
        <w:t>类型的展览</w:t>
      </w:r>
      <w:r>
        <w:rPr>
          <w:rFonts w:hint="eastAsia" w:eastAsia="仿宋"/>
          <w:color w:val="000000"/>
          <w:sz w:val="32"/>
          <w:szCs w:val="32"/>
        </w:rPr>
        <w:t>。对国内展会，展览面积达到或超过6</w:t>
      </w:r>
      <w:r>
        <w:rPr>
          <w:rFonts w:eastAsia="仿宋"/>
          <w:color w:val="000000"/>
          <w:sz w:val="32"/>
          <w:szCs w:val="32"/>
        </w:rPr>
        <w:t>000</w:t>
      </w:r>
      <w:r>
        <w:rPr>
          <w:rFonts w:hint="eastAsia" w:eastAsia="仿宋"/>
          <w:color w:val="000000"/>
          <w:sz w:val="32"/>
          <w:szCs w:val="32"/>
        </w:rPr>
        <w:t>平方米的，按其实际租用场馆场租费用，给予不超过</w:t>
      </w:r>
      <w:r>
        <w:rPr>
          <w:rFonts w:eastAsia="仿宋"/>
          <w:color w:val="000000"/>
          <w:sz w:val="32"/>
          <w:szCs w:val="32"/>
        </w:rPr>
        <w:t>25</w:t>
      </w:r>
      <w:r>
        <w:rPr>
          <w:rFonts w:hint="eastAsia" w:eastAsia="仿宋"/>
          <w:color w:val="000000"/>
          <w:sz w:val="32"/>
          <w:szCs w:val="32"/>
        </w:rPr>
        <w:t>%的补贴</w:t>
      </w:r>
      <w:r>
        <w:rPr>
          <w:rFonts w:eastAsia="仿宋"/>
          <w:color w:val="000000"/>
          <w:sz w:val="32"/>
          <w:szCs w:val="32"/>
        </w:rPr>
        <w:t>。对</w:t>
      </w:r>
      <w:r>
        <w:rPr>
          <w:rFonts w:hint="eastAsia" w:eastAsia="仿宋"/>
          <w:color w:val="000000"/>
          <w:sz w:val="32"/>
          <w:szCs w:val="32"/>
        </w:rPr>
        <w:t>国际展会，展览面积达到或超过6</w:t>
      </w:r>
      <w:r>
        <w:rPr>
          <w:rFonts w:eastAsia="仿宋"/>
          <w:color w:val="000000"/>
          <w:sz w:val="32"/>
          <w:szCs w:val="32"/>
        </w:rPr>
        <w:t>000平方米</w:t>
      </w:r>
      <w:r>
        <w:rPr>
          <w:rFonts w:hint="eastAsia" w:eastAsia="仿宋"/>
          <w:color w:val="000000"/>
          <w:sz w:val="32"/>
          <w:szCs w:val="32"/>
        </w:rPr>
        <w:t>，</w:t>
      </w:r>
      <w:r>
        <w:rPr>
          <w:rFonts w:eastAsia="仿宋"/>
          <w:color w:val="000000"/>
          <w:sz w:val="32"/>
          <w:szCs w:val="32"/>
        </w:rPr>
        <w:t>参展来自</w:t>
      </w:r>
      <w:r>
        <w:rPr>
          <w:rFonts w:hint="eastAsia" w:eastAsia="仿宋"/>
          <w:color w:val="000000"/>
          <w:sz w:val="32"/>
          <w:szCs w:val="32"/>
        </w:rPr>
        <w:t>5个以上不同国家或地区，且其参展面积不低于展览总面积3</w:t>
      </w:r>
      <w:r>
        <w:rPr>
          <w:rFonts w:eastAsia="仿宋"/>
          <w:color w:val="000000"/>
          <w:sz w:val="32"/>
          <w:szCs w:val="32"/>
        </w:rPr>
        <w:t>0</w:t>
      </w:r>
      <w:r>
        <w:rPr>
          <w:rFonts w:hint="eastAsia" w:eastAsia="仿宋"/>
          <w:color w:val="000000"/>
          <w:sz w:val="32"/>
          <w:szCs w:val="32"/>
        </w:rPr>
        <w:t>%的，按其实际租用场馆场租费用，给予不超过</w:t>
      </w:r>
      <w:r>
        <w:rPr>
          <w:rFonts w:eastAsia="仿宋"/>
          <w:color w:val="000000"/>
          <w:sz w:val="32"/>
          <w:szCs w:val="32"/>
        </w:rPr>
        <w:t>30</w:t>
      </w:r>
      <w:r>
        <w:rPr>
          <w:rFonts w:hint="eastAsia" w:eastAsia="仿宋"/>
          <w:color w:val="000000"/>
          <w:sz w:val="32"/>
          <w:szCs w:val="32"/>
        </w:rPr>
        <w:t>%的补贴</w:t>
      </w:r>
      <w:r>
        <w:rPr>
          <w:rFonts w:eastAsia="仿宋"/>
          <w:color w:val="000000"/>
          <w:sz w:val="32"/>
          <w:szCs w:val="32"/>
        </w:rPr>
        <w:t>。</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符合活力提升类展的相关证明材料</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2、展会项目介绍及本届展会总结；</w:t>
      </w:r>
    </w:p>
    <w:p>
      <w:pPr>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、场地租用相关材料（场地租用合同，如实际使用发生变化的，需附结算确认单、场租发票和支付凭证。如实际使用发生变化的，需附结算确认单）；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4、如申报国际展会类奖励，须提供</w:t>
      </w:r>
      <w:r>
        <w:rPr>
          <w:rFonts w:eastAsia="仿宋"/>
          <w:color w:val="000000"/>
          <w:sz w:val="32"/>
          <w:szCs w:val="32"/>
        </w:rPr>
        <w:t>参展来自</w:t>
      </w:r>
      <w:r>
        <w:rPr>
          <w:rFonts w:hint="eastAsia" w:eastAsia="仿宋"/>
          <w:color w:val="000000"/>
          <w:sz w:val="32"/>
          <w:szCs w:val="32"/>
        </w:rPr>
        <w:t>5个（含）以上不同国家或地区的展商参会证明及其租赁面积占比的说明和相关证明材料</w:t>
      </w:r>
      <w:r>
        <w:rPr>
          <w:rFonts w:hint="eastAsia" w:eastAsia="仿宋"/>
          <w:color w:val="000000"/>
          <w:sz w:val="32"/>
          <w:szCs w:val="32"/>
          <w:lang w:eastAsia="zh-CN"/>
        </w:rPr>
        <w:t>（</w:t>
      </w:r>
      <w:r>
        <w:rPr>
          <w:rFonts w:hint="eastAsia" w:eastAsia="仿宋"/>
          <w:color w:val="000000"/>
          <w:sz w:val="32"/>
          <w:szCs w:val="32"/>
          <w:lang w:val="en-US" w:eastAsia="zh-CN"/>
        </w:rPr>
        <w:t>如参展协议、展位面积确认文件等）</w:t>
      </w:r>
      <w:r>
        <w:rPr>
          <w:rFonts w:hint="eastAsia" w:eastAsia="仿宋"/>
          <w:color w:val="000000"/>
          <w:sz w:val="32"/>
          <w:szCs w:val="32"/>
        </w:rPr>
        <w:t>。</w:t>
      </w:r>
    </w:p>
    <w:p>
      <w:pPr>
        <w:spacing w:line="580" w:lineRule="exact"/>
        <w:ind w:firstLine="643" w:firstLineChars="200"/>
        <w:rPr>
          <w:rFonts w:eastAsia="仿宋"/>
          <w:color w:val="000000"/>
          <w:sz w:val="32"/>
          <w:szCs w:val="32"/>
        </w:rPr>
      </w:pPr>
      <w:r>
        <w:rPr>
          <w:rFonts w:hint="eastAsia" w:ascii="楷体" w:hAnsi="楷体" w:eastAsia="楷体"/>
          <w:b/>
          <w:color w:val="000000"/>
          <w:sz w:val="32"/>
          <w:szCs w:val="32"/>
        </w:rPr>
        <w:t>（二）产业促进</w:t>
      </w:r>
      <w:r>
        <w:rPr>
          <w:rFonts w:hint="eastAsia" w:ascii="楷体" w:hAnsi="楷体" w:eastAsia="楷体"/>
          <w:b/>
          <w:sz w:val="32"/>
          <w:szCs w:val="32"/>
        </w:rPr>
        <w:t>类</w:t>
      </w:r>
      <w:r>
        <w:rPr>
          <w:rFonts w:hint="eastAsia" w:ascii="楷体" w:hAnsi="楷体" w:eastAsia="楷体"/>
          <w:b/>
          <w:color w:val="000000"/>
          <w:sz w:val="32"/>
          <w:szCs w:val="32"/>
        </w:rPr>
        <w:t>展。</w:t>
      </w:r>
      <w:r>
        <w:rPr>
          <w:rFonts w:eastAsia="仿宋"/>
          <w:color w:val="000000"/>
          <w:sz w:val="32"/>
          <w:szCs w:val="32"/>
        </w:rPr>
        <w:t>重点扶持新一代信息技术、高端装备制造</w:t>
      </w:r>
      <w:r>
        <w:rPr>
          <w:rFonts w:hint="eastAsia" w:eastAsia="仿宋"/>
          <w:color w:val="000000"/>
          <w:sz w:val="32"/>
          <w:szCs w:val="32"/>
        </w:rPr>
        <w:t>、</w:t>
      </w:r>
      <w:r>
        <w:rPr>
          <w:rFonts w:eastAsia="仿宋"/>
          <w:color w:val="000000"/>
          <w:sz w:val="32"/>
          <w:szCs w:val="32"/>
        </w:rPr>
        <w:t>生物医药、纳米技术应用、人工智能</w:t>
      </w:r>
      <w:r>
        <w:rPr>
          <w:rFonts w:hint="eastAsia" w:eastAsia="仿宋"/>
          <w:color w:val="000000"/>
          <w:sz w:val="32"/>
          <w:szCs w:val="32"/>
        </w:rPr>
        <w:t>、</w:t>
      </w:r>
      <w:r>
        <w:rPr>
          <w:rFonts w:eastAsia="仿宋"/>
          <w:color w:val="000000"/>
          <w:sz w:val="32"/>
          <w:szCs w:val="32"/>
        </w:rPr>
        <w:t>现代服务业等符合园区产业发展方向的专业类型的展</w:t>
      </w:r>
      <w:r>
        <w:rPr>
          <w:rFonts w:hint="eastAsia" w:eastAsia="仿宋"/>
          <w:color w:val="000000"/>
          <w:sz w:val="32"/>
          <w:szCs w:val="32"/>
        </w:rPr>
        <w:t>览。对国内展会，</w:t>
      </w:r>
      <w:r>
        <w:rPr>
          <w:rFonts w:eastAsia="仿宋"/>
          <w:color w:val="000000"/>
          <w:sz w:val="32"/>
          <w:szCs w:val="32"/>
        </w:rPr>
        <w:t>展览面积达到或超过6000平方米的，</w:t>
      </w:r>
      <w:r>
        <w:rPr>
          <w:rFonts w:hint="eastAsia" w:eastAsia="仿宋"/>
          <w:color w:val="000000"/>
          <w:sz w:val="32"/>
          <w:szCs w:val="32"/>
        </w:rPr>
        <w:t>按其实际租用场馆场租费用，给予不超过</w:t>
      </w:r>
      <w:r>
        <w:rPr>
          <w:rFonts w:eastAsia="仿宋"/>
          <w:color w:val="000000"/>
          <w:sz w:val="32"/>
          <w:szCs w:val="32"/>
        </w:rPr>
        <w:t>20</w:t>
      </w:r>
      <w:r>
        <w:rPr>
          <w:rFonts w:hint="eastAsia" w:eastAsia="仿宋"/>
          <w:color w:val="000000"/>
          <w:sz w:val="32"/>
          <w:szCs w:val="32"/>
        </w:rPr>
        <w:t>%的补贴</w:t>
      </w:r>
      <w:r>
        <w:rPr>
          <w:rFonts w:eastAsia="仿宋"/>
          <w:sz w:val="32"/>
          <w:szCs w:val="32"/>
        </w:rPr>
        <w:t>。</w:t>
      </w:r>
      <w:r>
        <w:rPr>
          <w:rFonts w:hint="eastAsia" w:eastAsia="仿宋"/>
          <w:sz w:val="32"/>
          <w:szCs w:val="32"/>
        </w:rPr>
        <w:t>对</w:t>
      </w:r>
      <w:r>
        <w:rPr>
          <w:rFonts w:hint="eastAsia" w:eastAsia="仿宋"/>
          <w:color w:val="000000"/>
          <w:sz w:val="32"/>
          <w:szCs w:val="32"/>
        </w:rPr>
        <w:t>国际展会，展览面积</w:t>
      </w:r>
      <w:r>
        <w:rPr>
          <w:rFonts w:eastAsia="仿宋"/>
          <w:color w:val="000000"/>
          <w:sz w:val="32"/>
          <w:szCs w:val="32"/>
        </w:rPr>
        <w:t>达到或超过</w:t>
      </w:r>
      <w:r>
        <w:rPr>
          <w:rFonts w:hint="eastAsia" w:eastAsia="仿宋"/>
          <w:color w:val="000000"/>
          <w:sz w:val="32"/>
          <w:szCs w:val="32"/>
        </w:rPr>
        <w:t>6</w:t>
      </w:r>
      <w:r>
        <w:rPr>
          <w:rFonts w:eastAsia="仿宋"/>
          <w:color w:val="000000"/>
          <w:sz w:val="32"/>
          <w:szCs w:val="32"/>
        </w:rPr>
        <w:t>000平方米</w:t>
      </w:r>
      <w:r>
        <w:rPr>
          <w:rFonts w:hint="eastAsia" w:eastAsia="仿宋"/>
          <w:color w:val="000000"/>
          <w:sz w:val="32"/>
          <w:szCs w:val="32"/>
        </w:rPr>
        <w:t>，</w:t>
      </w:r>
      <w:r>
        <w:rPr>
          <w:rFonts w:eastAsia="仿宋"/>
          <w:color w:val="000000"/>
          <w:sz w:val="32"/>
          <w:szCs w:val="32"/>
        </w:rPr>
        <w:t>参展来自</w:t>
      </w:r>
      <w:r>
        <w:rPr>
          <w:rFonts w:hint="eastAsia" w:eastAsia="仿宋"/>
          <w:color w:val="000000"/>
          <w:sz w:val="32"/>
          <w:szCs w:val="32"/>
        </w:rPr>
        <w:t>5个以上不同国家或地区，且其参展面积不低于展览总面积3</w:t>
      </w:r>
      <w:r>
        <w:rPr>
          <w:rFonts w:eastAsia="仿宋"/>
          <w:color w:val="000000"/>
          <w:sz w:val="32"/>
          <w:szCs w:val="32"/>
        </w:rPr>
        <w:t>0</w:t>
      </w:r>
      <w:r>
        <w:rPr>
          <w:rFonts w:hint="eastAsia" w:eastAsia="仿宋"/>
          <w:color w:val="000000"/>
          <w:sz w:val="32"/>
          <w:szCs w:val="32"/>
        </w:rPr>
        <w:t>%的，按其实际租用场馆场租费用，给予不超过</w:t>
      </w:r>
      <w:r>
        <w:rPr>
          <w:rFonts w:eastAsia="仿宋"/>
          <w:color w:val="000000"/>
          <w:sz w:val="32"/>
          <w:szCs w:val="32"/>
        </w:rPr>
        <w:t>25</w:t>
      </w:r>
      <w:r>
        <w:rPr>
          <w:rFonts w:hint="eastAsia" w:eastAsia="仿宋"/>
          <w:color w:val="000000"/>
          <w:sz w:val="32"/>
          <w:szCs w:val="32"/>
        </w:rPr>
        <w:t>%的补贴。</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符合</w:t>
      </w:r>
      <w:r>
        <w:rPr>
          <w:rFonts w:hint="eastAsia" w:ascii="仿宋_GB2312" w:hAnsi="仿宋_GB2312" w:eastAsia="仿宋_GB2312" w:cs="仿宋_GB2312"/>
          <w:sz w:val="32"/>
          <w:szCs w:val="32"/>
        </w:rPr>
        <w:t>产业</w:t>
      </w:r>
      <w:r>
        <w:rPr>
          <w:rFonts w:ascii="仿宋_GB2312" w:hAnsi="仿宋_GB2312" w:eastAsia="仿宋_GB2312" w:cs="仿宋_GB2312"/>
          <w:sz w:val="32"/>
          <w:szCs w:val="32"/>
        </w:rPr>
        <w:t>促进类展的相关证明材料</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2、展会项目介绍及本届展会总结；</w:t>
      </w:r>
    </w:p>
    <w:p>
      <w:pPr>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、场地租用相关材料（场地租用合同，如实际使用发生变化的，需附结算确认单、场租发票和支付凭证。如实际使用发生变化的，需附结算确认单）；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4、如申报国际展会类奖励，须提供</w:t>
      </w:r>
      <w:r>
        <w:rPr>
          <w:rFonts w:eastAsia="仿宋"/>
          <w:color w:val="000000"/>
          <w:sz w:val="32"/>
          <w:szCs w:val="32"/>
        </w:rPr>
        <w:t>参展来自</w:t>
      </w:r>
      <w:r>
        <w:rPr>
          <w:rFonts w:hint="eastAsia" w:eastAsia="仿宋"/>
          <w:color w:val="000000"/>
          <w:sz w:val="32"/>
          <w:szCs w:val="32"/>
        </w:rPr>
        <w:t>5个（含）以上不同国家或地区的展商参会证明及其租赁面积占比的说明和相关证明材料</w:t>
      </w:r>
      <w:r>
        <w:rPr>
          <w:rFonts w:hint="eastAsia" w:eastAsia="仿宋"/>
          <w:color w:val="000000"/>
          <w:sz w:val="32"/>
          <w:szCs w:val="32"/>
          <w:lang w:eastAsia="zh-CN"/>
        </w:rPr>
        <w:t>（</w:t>
      </w:r>
      <w:r>
        <w:rPr>
          <w:rFonts w:hint="eastAsia" w:eastAsia="仿宋"/>
          <w:color w:val="000000"/>
          <w:sz w:val="32"/>
          <w:szCs w:val="32"/>
          <w:lang w:val="en-US" w:eastAsia="zh-CN"/>
        </w:rPr>
        <w:t>如参展协议、展位面积确认文件等）</w:t>
      </w:r>
      <w:bookmarkStart w:id="0" w:name="_GoBack"/>
      <w:bookmarkEnd w:id="0"/>
      <w:r>
        <w:rPr>
          <w:rFonts w:hint="eastAsia" w:eastAsia="仿宋"/>
          <w:color w:val="000000"/>
          <w:sz w:val="32"/>
          <w:szCs w:val="32"/>
        </w:rPr>
        <w:t>。</w:t>
      </w:r>
    </w:p>
    <w:p>
      <w:pPr>
        <w:spacing w:line="560" w:lineRule="exact"/>
        <w:ind w:firstLine="643" w:firstLineChars="200"/>
        <w:rPr>
          <w:rFonts w:eastAsia="仿宋"/>
          <w:sz w:val="32"/>
          <w:szCs w:val="32"/>
        </w:rPr>
      </w:pPr>
      <w:r>
        <w:rPr>
          <w:rFonts w:hint="eastAsia" w:ascii="楷体" w:hAnsi="楷体" w:eastAsia="楷体"/>
          <w:b/>
          <w:sz w:val="32"/>
          <w:szCs w:val="32"/>
        </w:rPr>
        <w:t>（三）品牌影响力展。</w:t>
      </w:r>
      <w:r>
        <w:rPr>
          <w:rFonts w:eastAsia="仿宋"/>
          <w:sz w:val="32"/>
          <w:szCs w:val="32"/>
        </w:rPr>
        <w:t>对主承办方</w:t>
      </w:r>
      <w:r>
        <w:rPr>
          <w:rFonts w:hint="eastAsia" w:eastAsia="仿宋"/>
          <w:sz w:val="32"/>
          <w:szCs w:val="32"/>
        </w:rPr>
        <w:t>为民政部登记且上年年检合格的全国性社会团体、机构，或省外参展企业数量占比达到2</w:t>
      </w:r>
      <w:r>
        <w:rPr>
          <w:rFonts w:eastAsia="仿宋"/>
          <w:sz w:val="32"/>
          <w:szCs w:val="32"/>
        </w:rPr>
        <w:t>0</w:t>
      </w:r>
      <w:r>
        <w:rPr>
          <w:rFonts w:hint="eastAsia" w:eastAsia="仿宋"/>
          <w:sz w:val="32"/>
          <w:szCs w:val="32"/>
        </w:rPr>
        <w:t>%</w:t>
      </w:r>
      <w:r>
        <w:rPr>
          <w:rFonts w:eastAsia="仿宋"/>
          <w:sz w:val="32"/>
          <w:szCs w:val="32"/>
        </w:rPr>
        <w:t>以上，</w:t>
      </w:r>
      <w:r>
        <w:rPr>
          <w:rFonts w:hint="eastAsia" w:eastAsia="仿宋"/>
          <w:sz w:val="32"/>
          <w:szCs w:val="32"/>
        </w:rPr>
        <w:t>或展览面积达到或超过2</w:t>
      </w:r>
      <w:r>
        <w:rPr>
          <w:rFonts w:eastAsia="仿宋"/>
          <w:sz w:val="32"/>
          <w:szCs w:val="32"/>
        </w:rPr>
        <w:t>0000平方米的具有全国影响力的品牌专业类展会，</w:t>
      </w:r>
      <w:r>
        <w:rPr>
          <w:rFonts w:hint="eastAsia" w:eastAsia="仿宋"/>
          <w:color w:val="000000"/>
          <w:sz w:val="32"/>
          <w:szCs w:val="32"/>
        </w:rPr>
        <w:t>按其实际租用场馆场租费用，给予不超过</w:t>
      </w:r>
      <w:r>
        <w:rPr>
          <w:rFonts w:eastAsia="仿宋"/>
          <w:color w:val="000000"/>
          <w:sz w:val="32"/>
          <w:szCs w:val="32"/>
        </w:rPr>
        <w:t>25</w:t>
      </w:r>
      <w:r>
        <w:rPr>
          <w:rFonts w:hint="eastAsia" w:eastAsia="仿宋"/>
          <w:color w:val="000000"/>
          <w:sz w:val="32"/>
          <w:szCs w:val="32"/>
        </w:rPr>
        <w:t>%的补贴</w:t>
      </w:r>
      <w:r>
        <w:rPr>
          <w:rFonts w:hint="eastAsia" w:eastAsia="仿宋"/>
          <w:sz w:val="32"/>
          <w:szCs w:val="32"/>
        </w:rPr>
        <w:t>。</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符合</w:t>
      </w:r>
      <w:r>
        <w:rPr>
          <w:rFonts w:hint="eastAsia" w:ascii="仿宋_GB2312" w:hAnsi="仿宋_GB2312" w:eastAsia="仿宋_GB2312" w:cs="仿宋_GB2312"/>
          <w:sz w:val="32"/>
          <w:szCs w:val="32"/>
        </w:rPr>
        <w:t>品牌影响力</w:t>
      </w:r>
      <w:r>
        <w:rPr>
          <w:rFonts w:ascii="仿宋_GB2312" w:hAnsi="仿宋_GB2312" w:eastAsia="仿宋_GB2312" w:cs="仿宋_GB2312"/>
          <w:sz w:val="32"/>
          <w:szCs w:val="32"/>
        </w:rPr>
        <w:t>类展的相关证明材料</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2、展会项目介绍及本届展会总结；</w:t>
      </w:r>
    </w:p>
    <w:p>
      <w:pPr>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、场地租用相关材料（场地租用合同，如实际使用发生变化的，需附结算确认单、场租发票和支付凭证。如实际使用发生变化的，需附结算确认单）；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eastAsia="仿宋"/>
          <w:sz w:val="32"/>
          <w:szCs w:val="32"/>
        </w:rPr>
        <w:t xml:space="preserve"> 提供年检合格的全国性社会团体和相关机构的证明材料或省外参展企业数量占比达到2</w:t>
      </w:r>
      <w:r>
        <w:rPr>
          <w:rFonts w:eastAsia="仿宋"/>
          <w:sz w:val="32"/>
          <w:szCs w:val="32"/>
        </w:rPr>
        <w:t>0</w:t>
      </w:r>
      <w:r>
        <w:rPr>
          <w:rFonts w:hint="eastAsia" w:eastAsia="仿宋"/>
          <w:sz w:val="32"/>
          <w:szCs w:val="32"/>
        </w:rPr>
        <w:t>%</w:t>
      </w:r>
      <w:r>
        <w:rPr>
          <w:rFonts w:eastAsia="仿宋"/>
          <w:sz w:val="32"/>
          <w:szCs w:val="32"/>
        </w:rPr>
        <w:t>以上</w:t>
      </w:r>
      <w:r>
        <w:rPr>
          <w:rFonts w:hint="eastAsia" w:eastAsia="仿宋"/>
          <w:sz w:val="32"/>
          <w:szCs w:val="32"/>
        </w:rPr>
        <w:t>说明和</w:t>
      </w:r>
      <w:r>
        <w:rPr>
          <w:rFonts w:eastAsia="仿宋"/>
          <w:sz w:val="32"/>
          <w:szCs w:val="32"/>
        </w:rPr>
        <w:t>证明材料</w:t>
      </w:r>
      <w:r>
        <w:rPr>
          <w:rFonts w:hint="eastAsia" w:eastAsia="仿宋"/>
          <w:sz w:val="32"/>
          <w:szCs w:val="32"/>
        </w:rPr>
        <w:t>（省外企业须提供注册所在地相关证明材料）；</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（四）取得UFI（</w:t>
      </w:r>
      <w:r>
        <w:rPr>
          <w:rFonts w:ascii="楷体" w:hAnsi="楷体" w:eastAsia="楷体"/>
          <w:b/>
          <w:sz w:val="32"/>
          <w:szCs w:val="32"/>
        </w:rPr>
        <w:t>国际展览联盟</w:t>
      </w:r>
      <w:r>
        <w:rPr>
          <w:rFonts w:hint="eastAsia" w:ascii="楷体" w:hAnsi="楷体" w:eastAsia="楷体"/>
          <w:b/>
          <w:sz w:val="32"/>
          <w:szCs w:val="32"/>
        </w:rPr>
        <w:t>）认证的国际展览项目，另给予不超过</w:t>
      </w:r>
      <w:r>
        <w:rPr>
          <w:rFonts w:ascii="楷体" w:hAnsi="楷体" w:eastAsia="楷体"/>
          <w:b/>
          <w:sz w:val="32"/>
          <w:szCs w:val="32"/>
        </w:rPr>
        <w:t>3</w:t>
      </w:r>
      <w:r>
        <w:rPr>
          <w:rFonts w:hint="eastAsia" w:ascii="楷体" w:hAnsi="楷体" w:eastAsia="楷体"/>
          <w:b/>
          <w:sz w:val="32"/>
          <w:szCs w:val="32"/>
        </w:rPr>
        <w:t>0万元的一次性补贴。</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rPr>
          <w:rFonts w:ascii="黑体" w:hAnsi="黑体" w:eastAsia="黑体" w:cs="黑体"/>
          <w:b/>
          <w:sz w:val="32"/>
          <w:szCs w:val="40"/>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提供认证等相关材料</w:t>
      </w:r>
      <w:r>
        <w:rPr>
          <w:rFonts w:hint="eastAsia" w:ascii="仿宋_GB2312" w:hAnsi="仿宋_GB2312" w:eastAsia="仿宋_GB2312" w:cs="仿宋_GB2312"/>
          <w:sz w:val="32"/>
          <w:szCs w:val="32"/>
        </w:rPr>
        <w:t>。</w:t>
      </w:r>
    </w:p>
    <w:p>
      <w:pPr>
        <w:rPr>
          <w:rFonts w:ascii="黑体" w:hAnsi="黑体" w:eastAsia="黑体" w:cs="黑体"/>
          <w:sz w:val="32"/>
          <w:szCs w:val="40"/>
        </w:rPr>
      </w:pPr>
      <w:r>
        <w:rPr>
          <w:rFonts w:ascii="黑体" w:hAnsi="黑体" w:eastAsia="黑体" w:cs="黑体"/>
          <w:sz w:val="32"/>
          <w:szCs w:val="40"/>
        </w:rPr>
        <w:t>四</w:t>
      </w:r>
      <w:r>
        <w:rPr>
          <w:rFonts w:hint="eastAsia" w:ascii="黑体" w:hAnsi="黑体" w:eastAsia="黑体" w:cs="黑体"/>
          <w:sz w:val="32"/>
          <w:szCs w:val="40"/>
        </w:rPr>
        <w:t>、</w:t>
      </w:r>
      <w:r>
        <w:rPr>
          <w:rFonts w:ascii="黑体" w:hAnsi="黑体" w:eastAsia="黑体" w:cs="黑体"/>
          <w:sz w:val="32"/>
          <w:szCs w:val="40"/>
        </w:rPr>
        <w:t>会议支持</w:t>
      </w:r>
    </w:p>
    <w:p>
      <w:pPr>
        <w:spacing w:line="580" w:lineRule="exact"/>
        <w:ind w:firstLine="643" w:firstLineChars="200"/>
        <w:rPr>
          <w:rFonts w:eastAsia="仿宋"/>
          <w:color w:val="000000"/>
          <w:sz w:val="32"/>
          <w:szCs w:val="32"/>
        </w:rPr>
      </w:pPr>
      <w:r>
        <w:rPr>
          <w:rFonts w:hint="eastAsia" w:ascii="楷体" w:hAnsi="楷体" w:eastAsia="楷体"/>
          <w:b/>
          <w:sz w:val="32"/>
          <w:szCs w:val="32"/>
        </w:rPr>
        <w:t>（一）品牌会议。</w:t>
      </w:r>
      <w:r>
        <w:rPr>
          <w:rFonts w:hint="eastAsia" w:eastAsia="仿宋"/>
          <w:sz w:val="32"/>
          <w:szCs w:val="32"/>
        </w:rPr>
        <w:t>对《财富》世界500强排行榜企业、中国企业500强排行榜企业、民政部登记且上年年检合格的全国性社会团体、机构举办的知名品牌会议，在园区专业会议载体、四星级（含）以上酒店或经园区会展主管部门认可的同等级品牌酒店举办，参会人数5</w:t>
      </w:r>
      <w:r>
        <w:rPr>
          <w:rFonts w:eastAsia="仿宋"/>
          <w:sz w:val="32"/>
          <w:szCs w:val="32"/>
        </w:rPr>
        <w:t>00-999</w:t>
      </w:r>
      <w:r>
        <w:rPr>
          <w:rFonts w:hint="eastAsia" w:eastAsia="仿宋"/>
          <w:sz w:val="32"/>
          <w:szCs w:val="32"/>
        </w:rPr>
        <w:t>人，一次性给予不超过2</w:t>
      </w:r>
      <w:r>
        <w:rPr>
          <w:rFonts w:eastAsia="仿宋"/>
          <w:sz w:val="32"/>
          <w:szCs w:val="32"/>
        </w:rPr>
        <w:t>0</w:t>
      </w:r>
      <w:r>
        <w:rPr>
          <w:rFonts w:hint="eastAsia" w:eastAsia="仿宋"/>
          <w:sz w:val="32"/>
          <w:szCs w:val="32"/>
        </w:rPr>
        <w:t>万元补贴；参会人数</w:t>
      </w:r>
      <w:r>
        <w:rPr>
          <w:rFonts w:eastAsia="仿宋"/>
          <w:sz w:val="32"/>
          <w:szCs w:val="32"/>
        </w:rPr>
        <w:t>1000-1999</w:t>
      </w:r>
      <w:r>
        <w:rPr>
          <w:rFonts w:hint="eastAsia" w:eastAsia="仿宋"/>
          <w:sz w:val="32"/>
          <w:szCs w:val="32"/>
        </w:rPr>
        <w:t>人，一次性给予不超过2</w:t>
      </w:r>
      <w:r>
        <w:rPr>
          <w:rFonts w:eastAsia="仿宋"/>
          <w:sz w:val="32"/>
          <w:szCs w:val="32"/>
        </w:rPr>
        <w:t>5</w:t>
      </w:r>
      <w:r>
        <w:rPr>
          <w:rFonts w:hint="eastAsia" w:eastAsia="仿宋"/>
          <w:sz w:val="32"/>
          <w:szCs w:val="32"/>
        </w:rPr>
        <w:t>万元补贴；参会人数</w:t>
      </w:r>
      <w:r>
        <w:rPr>
          <w:rFonts w:eastAsia="仿宋"/>
          <w:sz w:val="32"/>
          <w:szCs w:val="32"/>
        </w:rPr>
        <w:t>2000</w:t>
      </w:r>
      <w:r>
        <w:rPr>
          <w:rFonts w:hint="eastAsia" w:eastAsia="仿宋"/>
          <w:sz w:val="32"/>
          <w:szCs w:val="32"/>
        </w:rPr>
        <w:t>人以上，一次性给予不超过3</w:t>
      </w:r>
      <w:r>
        <w:rPr>
          <w:rFonts w:eastAsia="仿宋"/>
          <w:sz w:val="32"/>
          <w:szCs w:val="32"/>
        </w:rPr>
        <w:t>0</w:t>
      </w:r>
      <w:r>
        <w:rPr>
          <w:rFonts w:hint="eastAsia" w:eastAsia="仿宋"/>
          <w:sz w:val="32"/>
          <w:szCs w:val="32"/>
        </w:rPr>
        <w:t>万元补贴</w:t>
      </w:r>
      <w:r>
        <w:rPr>
          <w:rFonts w:hint="eastAsia" w:eastAsia="仿宋"/>
          <w:color w:val="000000"/>
          <w:sz w:val="32"/>
          <w:szCs w:val="32"/>
        </w:rPr>
        <w:t>。</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1、活动介绍和总结；</w:t>
      </w:r>
    </w:p>
    <w:p>
      <w:pPr>
        <w:contextualSpacing/>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、会议规模证明</w:t>
      </w:r>
      <w:r>
        <w:rPr>
          <w:rFonts w:hint="eastAsia" w:eastAsia="仿宋"/>
          <w:sz w:val="32"/>
          <w:szCs w:val="32"/>
        </w:rPr>
        <w:t>（附件2），</w:t>
      </w:r>
      <w:r>
        <w:rPr>
          <w:rFonts w:hint="eastAsia" w:ascii="仿宋_GB2312" w:hAnsi="仿宋_GB2312" w:eastAsia="仿宋_GB2312" w:cs="仿宋_GB2312"/>
          <w:sz w:val="32"/>
          <w:szCs w:val="32"/>
        </w:rPr>
        <w:t>以及电子报名或签到记录和现场照片、录像、餐券发放记录等可反映参会人数的辅助材料；</w:t>
      </w:r>
    </w:p>
    <w:p>
      <w:pPr>
        <w:contextualSpacing/>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022年获得</w:t>
      </w:r>
      <w:r>
        <w:rPr>
          <w:rFonts w:hint="eastAsia" w:ascii="仿宋_GB2312" w:hAnsi="仿宋_GB2312" w:eastAsia="仿宋_GB2312" w:cs="仿宋_GB2312"/>
          <w:sz w:val="32"/>
          <w:szCs w:val="32"/>
        </w:rPr>
        <w:t>《财富》世界500强排行榜企业和中国企业500强排行榜的证明材料或年检合格的全国性社会团体、机构的证明材料。</w:t>
      </w:r>
    </w:p>
    <w:p>
      <w:pPr>
        <w:spacing w:line="580" w:lineRule="exact"/>
        <w:ind w:firstLine="643" w:firstLineChars="200"/>
        <w:rPr>
          <w:rFonts w:eastAsia="仿宋"/>
          <w:sz w:val="32"/>
          <w:szCs w:val="32"/>
        </w:rPr>
      </w:pPr>
      <w:r>
        <w:rPr>
          <w:rFonts w:hint="eastAsia" w:ascii="楷体" w:hAnsi="楷体" w:eastAsia="楷体"/>
          <w:b/>
          <w:sz w:val="32"/>
          <w:szCs w:val="32"/>
        </w:rPr>
        <w:t>（二）产业促进会议。</w:t>
      </w:r>
      <w:r>
        <w:rPr>
          <w:rFonts w:hint="eastAsia" w:eastAsia="仿宋"/>
          <w:sz w:val="32"/>
          <w:szCs w:val="32"/>
        </w:rPr>
        <w:t>对符合园区重点领域转型升级要求的会议，</w:t>
      </w:r>
      <w:r>
        <w:rPr>
          <w:rFonts w:eastAsia="仿宋"/>
          <w:color w:val="000000"/>
          <w:sz w:val="32"/>
          <w:szCs w:val="32"/>
        </w:rPr>
        <w:t>如新一代信息技术、高端装备制造</w:t>
      </w:r>
      <w:r>
        <w:rPr>
          <w:rFonts w:hint="eastAsia" w:eastAsia="仿宋"/>
          <w:color w:val="000000"/>
          <w:sz w:val="32"/>
          <w:szCs w:val="32"/>
        </w:rPr>
        <w:t>、</w:t>
      </w:r>
      <w:r>
        <w:rPr>
          <w:rFonts w:eastAsia="仿宋"/>
          <w:color w:val="000000"/>
          <w:sz w:val="32"/>
          <w:szCs w:val="32"/>
        </w:rPr>
        <w:t>生物医药、纳米技术应用、人工智能</w:t>
      </w:r>
      <w:r>
        <w:rPr>
          <w:rFonts w:hint="eastAsia" w:eastAsia="仿宋"/>
          <w:color w:val="000000"/>
          <w:sz w:val="32"/>
          <w:szCs w:val="32"/>
        </w:rPr>
        <w:t>、</w:t>
      </w:r>
      <w:r>
        <w:rPr>
          <w:rFonts w:eastAsia="仿宋"/>
          <w:color w:val="000000"/>
          <w:sz w:val="32"/>
          <w:szCs w:val="32"/>
        </w:rPr>
        <w:t>现代服务业、数字贸易</w:t>
      </w:r>
      <w:r>
        <w:rPr>
          <w:rFonts w:hint="eastAsia" w:eastAsia="仿宋"/>
          <w:color w:val="000000"/>
          <w:sz w:val="32"/>
          <w:szCs w:val="32"/>
        </w:rPr>
        <w:t>、离岸贸易、</w:t>
      </w:r>
      <w:r>
        <w:rPr>
          <w:rFonts w:eastAsia="仿宋"/>
          <w:color w:val="000000"/>
          <w:sz w:val="32"/>
          <w:szCs w:val="32"/>
        </w:rPr>
        <w:t>自贸区</w:t>
      </w:r>
      <w:r>
        <w:rPr>
          <w:rFonts w:hint="eastAsia" w:eastAsia="仿宋"/>
          <w:color w:val="000000"/>
          <w:sz w:val="32"/>
          <w:szCs w:val="32"/>
        </w:rPr>
        <w:t>提升</w:t>
      </w:r>
      <w:r>
        <w:rPr>
          <w:rFonts w:eastAsia="仿宋"/>
          <w:color w:val="000000"/>
          <w:sz w:val="32"/>
          <w:szCs w:val="32"/>
        </w:rPr>
        <w:t>、</w:t>
      </w:r>
      <w:r>
        <w:rPr>
          <w:rFonts w:hint="eastAsia" w:eastAsia="仿宋"/>
          <w:color w:val="000000"/>
          <w:sz w:val="32"/>
          <w:szCs w:val="32"/>
        </w:rPr>
        <w:t>制度创新</w:t>
      </w:r>
      <w:r>
        <w:rPr>
          <w:rFonts w:eastAsia="仿宋"/>
          <w:color w:val="000000"/>
          <w:sz w:val="32"/>
          <w:szCs w:val="32"/>
        </w:rPr>
        <w:t>、国际规则等</w:t>
      </w:r>
      <w:r>
        <w:rPr>
          <w:rFonts w:hint="eastAsia" w:eastAsia="仿宋"/>
          <w:sz w:val="32"/>
          <w:szCs w:val="32"/>
        </w:rPr>
        <w:t>产业论坛、会议，</w:t>
      </w:r>
      <w:r>
        <w:rPr>
          <w:rFonts w:hint="eastAsia" w:eastAsia="仿宋"/>
          <w:color w:val="000000"/>
          <w:sz w:val="32"/>
          <w:szCs w:val="32"/>
        </w:rPr>
        <w:t>在园</w:t>
      </w:r>
      <w:r>
        <w:rPr>
          <w:rFonts w:hint="eastAsia" w:eastAsia="仿宋"/>
          <w:sz w:val="32"/>
          <w:szCs w:val="32"/>
        </w:rPr>
        <w:t>区专业会议载体、四星级（含）以上酒店或经园区会展主管部门认可的同等级品牌酒店举办，参会人数2</w:t>
      </w:r>
      <w:r>
        <w:rPr>
          <w:rFonts w:eastAsia="仿宋"/>
          <w:sz w:val="32"/>
          <w:szCs w:val="32"/>
        </w:rPr>
        <w:t>00-499</w:t>
      </w:r>
      <w:r>
        <w:rPr>
          <w:rFonts w:hint="eastAsia" w:eastAsia="仿宋"/>
          <w:sz w:val="32"/>
          <w:szCs w:val="32"/>
        </w:rPr>
        <w:t>人，一次性给予不超过</w:t>
      </w:r>
      <w:r>
        <w:rPr>
          <w:rFonts w:eastAsia="仿宋"/>
          <w:sz w:val="32"/>
          <w:szCs w:val="32"/>
        </w:rPr>
        <w:t>15</w:t>
      </w:r>
      <w:r>
        <w:rPr>
          <w:rFonts w:hint="eastAsia" w:eastAsia="仿宋"/>
          <w:sz w:val="32"/>
          <w:szCs w:val="32"/>
        </w:rPr>
        <w:t>万元补贴；参会人数</w:t>
      </w:r>
      <w:r>
        <w:rPr>
          <w:rFonts w:eastAsia="仿宋"/>
          <w:sz w:val="32"/>
          <w:szCs w:val="32"/>
        </w:rPr>
        <w:t>500-999</w:t>
      </w:r>
      <w:r>
        <w:rPr>
          <w:rFonts w:hint="eastAsia" w:eastAsia="仿宋"/>
          <w:sz w:val="32"/>
          <w:szCs w:val="32"/>
        </w:rPr>
        <w:t>人，一次性给予不超过</w:t>
      </w:r>
      <w:r>
        <w:rPr>
          <w:rFonts w:eastAsia="仿宋"/>
          <w:sz w:val="32"/>
          <w:szCs w:val="32"/>
        </w:rPr>
        <w:t>20</w:t>
      </w:r>
      <w:r>
        <w:rPr>
          <w:rFonts w:hint="eastAsia" w:eastAsia="仿宋"/>
          <w:sz w:val="32"/>
          <w:szCs w:val="32"/>
        </w:rPr>
        <w:t>万元补贴；参会人数</w:t>
      </w:r>
      <w:r>
        <w:rPr>
          <w:rFonts w:eastAsia="仿宋"/>
          <w:sz w:val="32"/>
          <w:szCs w:val="32"/>
        </w:rPr>
        <w:t>1000</w:t>
      </w:r>
      <w:r>
        <w:rPr>
          <w:rFonts w:hint="eastAsia" w:eastAsia="仿宋"/>
          <w:sz w:val="32"/>
          <w:szCs w:val="32"/>
        </w:rPr>
        <w:t>人以上，一次性给予不超过2</w:t>
      </w:r>
      <w:r>
        <w:rPr>
          <w:rFonts w:eastAsia="仿宋"/>
          <w:sz w:val="32"/>
          <w:szCs w:val="32"/>
        </w:rPr>
        <w:t>5</w:t>
      </w:r>
      <w:r>
        <w:rPr>
          <w:rFonts w:hint="eastAsia" w:eastAsia="仿宋"/>
          <w:sz w:val="32"/>
          <w:szCs w:val="32"/>
        </w:rPr>
        <w:t>万元补贴。</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1、活动介绍和总结；</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符合</w:t>
      </w:r>
      <w:r>
        <w:rPr>
          <w:rFonts w:hint="eastAsia" w:ascii="仿宋_GB2312" w:hAnsi="仿宋_GB2312" w:eastAsia="仿宋_GB2312" w:cs="仿宋_GB2312"/>
          <w:sz w:val="32"/>
          <w:szCs w:val="32"/>
        </w:rPr>
        <w:t>产业促进类</w:t>
      </w:r>
      <w:r>
        <w:rPr>
          <w:rFonts w:ascii="仿宋_GB2312" w:hAnsi="仿宋_GB2312" w:eastAsia="仿宋_GB2312" w:cs="仿宋_GB2312"/>
          <w:sz w:val="32"/>
          <w:szCs w:val="32"/>
        </w:rPr>
        <w:t>会议的</w:t>
      </w:r>
      <w:r>
        <w:rPr>
          <w:rFonts w:hint="eastAsia" w:ascii="仿宋_GB2312" w:hAnsi="仿宋_GB2312" w:eastAsia="仿宋_GB2312" w:cs="仿宋_GB2312"/>
          <w:sz w:val="32"/>
          <w:szCs w:val="32"/>
        </w:rPr>
        <w:t>情况说明；</w:t>
      </w:r>
    </w:p>
    <w:p>
      <w:pPr>
        <w:contextualSpacing/>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、会议规模证明（附件2），以及电子报名或签到记录和现场照片、录像、餐券发放记录等可反映参会人数的辅助材料。</w:t>
      </w:r>
    </w:p>
    <w:p>
      <w:pPr>
        <w:spacing w:line="580" w:lineRule="exact"/>
        <w:ind w:firstLine="643" w:firstLineChars="200"/>
        <w:rPr>
          <w:rFonts w:eastAsia="仿宋"/>
          <w:sz w:val="32"/>
          <w:szCs w:val="32"/>
        </w:rPr>
      </w:pPr>
      <w:r>
        <w:rPr>
          <w:rFonts w:hint="eastAsia" w:ascii="楷体" w:hAnsi="楷体" w:eastAsia="楷体"/>
          <w:b/>
          <w:sz w:val="32"/>
          <w:szCs w:val="32"/>
        </w:rPr>
        <w:t>（三）规模型会议。</w:t>
      </w:r>
      <w:r>
        <w:rPr>
          <w:rFonts w:hint="eastAsia" w:eastAsia="仿宋"/>
          <w:sz w:val="32"/>
          <w:szCs w:val="32"/>
        </w:rPr>
        <w:t>对在园区专业会议载体、四星级（含）以上酒店或经园区会展主管部门认可的同等级品牌酒店中举办的规模型会议，参会人数2</w:t>
      </w:r>
      <w:r>
        <w:rPr>
          <w:rFonts w:eastAsia="仿宋"/>
          <w:sz w:val="32"/>
          <w:szCs w:val="32"/>
        </w:rPr>
        <w:t>000-2999</w:t>
      </w:r>
      <w:r>
        <w:rPr>
          <w:rFonts w:hint="eastAsia" w:eastAsia="仿宋"/>
          <w:sz w:val="32"/>
          <w:szCs w:val="32"/>
        </w:rPr>
        <w:t>人，一次性给予不超过</w:t>
      </w:r>
      <w:r>
        <w:rPr>
          <w:rFonts w:eastAsia="仿宋"/>
          <w:sz w:val="32"/>
          <w:szCs w:val="32"/>
        </w:rPr>
        <w:t>20</w:t>
      </w:r>
      <w:r>
        <w:rPr>
          <w:rFonts w:hint="eastAsia" w:eastAsia="仿宋"/>
          <w:sz w:val="32"/>
          <w:szCs w:val="32"/>
        </w:rPr>
        <w:t>万元补贴；参会人数3</w:t>
      </w:r>
      <w:r>
        <w:rPr>
          <w:rFonts w:eastAsia="仿宋"/>
          <w:sz w:val="32"/>
          <w:szCs w:val="32"/>
        </w:rPr>
        <w:t>000-3999</w:t>
      </w:r>
      <w:r>
        <w:rPr>
          <w:rFonts w:hint="eastAsia" w:eastAsia="仿宋"/>
          <w:sz w:val="32"/>
          <w:szCs w:val="32"/>
        </w:rPr>
        <w:t>人，一次性给予不超过</w:t>
      </w:r>
      <w:r>
        <w:rPr>
          <w:rFonts w:eastAsia="仿宋"/>
          <w:sz w:val="32"/>
          <w:szCs w:val="32"/>
        </w:rPr>
        <w:t>25</w:t>
      </w:r>
      <w:r>
        <w:rPr>
          <w:rFonts w:hint="eastAsia" w:eastAsia="仿宋"/>
          <w:sz w:val="32"/>
          <w:szCs w:val="32"/>
        </w:rPr>
        <w:t>万元补贴；参会人数</w:t>
      </w:r>
      <w:r>
        <w:rPr>
          <w:rFonts w:eastAsia="仿宋"/>
          <w:sz w:val="32"/>
          <w:szCs w:val="32"/>
        </w:rPr>
        <w:t>4000</w:t>
      </w:r>
      <w:r>
        <w:rPr>
          <w:rFonts w:hint="eastAsia" w:eastAsia="仿宋"/>
          <w:sz w:val="32"/>
          <w:szCs w:val="32"/>
        </w:rPr>
        <w:t>人以上，一次性给予不超过</w:t>
      </w:r>
      <w:r>
        <w:rPr>
          <w:rFonts w:eastAsia="仿宋"/>
          <w:sz w:val="32"/>
          <w:szCs w:val="32"/>
        </w:rPr>
        <w:t>30</w:t>
      </w:r>
      <w:r>
        <w:rPr>
          <w:rFonts w:hint="eastAsia" w:eastAsia="仿宋"/>
          <w:sz w:val="32"/>
          <w:szCs w:val="32"/>
        </w:rPr>
        <w:t>万元补贴。</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1、活动介绍和总结；</w:t>
      </w:r>
    </w:p>
    <w:p>
      <w:pPr>
        <w:contextualSpacing/>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、会议规模证明（附件2），以及电子报名或签到记录和现场照片、录像、餐券发放记录等可反映参会人数的辅助材料。</w:t>
      </w:r>
    </w:p>
    <w:p>
      <w:pPr>
        <w:spacing w:line="580" w:lineRule="exact"/>
        <w:ind w:firstLine="643" w:firstLineChars="200"/>
        <w:rPr>
          <w:rFonts w:ascii="楷体" w:hAnsi="楷体" w:eastAsia="楷体" w:cs="仿宋_GB2312"/>
          <w:b/>
          <w:sz w:val="32"/>
          <w:szCs w:val="32"/>
        </w:rPr>
      </w:pPr>
      <w:r>
        <w:rPr>
          <w:rFonts w:hint="eastAsia" w:ascii="楷体" w:hAnsi="楷体" w:eastAsia="楷体"/>
          <w:b/>
          <w:sz w:val="32"/>
          <w:szCs w:val="32"/>
        </w:rPr>
        <w:t>（四）</w:t>
      </w:r>
      <w:r>
        <w:rPr>
          <w:rFonts w:hint="eastAsia" w:ascii="楷体" w:hAnsi="楷体" w:eastAsia="楷体" w:cs="仿宋_GB2312"/>
          <w:b/>
          <w:sz w:val="32"/>
          <w:szCs w:val="32"/>
        </w:rPr>
        <w:t>对新引进的</w:t>
      </w:r>
      <w:r>
        <w:rPr>
          <w:rFonts w:hint="eastAsia" w:ascii="楷体" w:hAnsi="楷体" w:eastAsia="楷体"/>
          <w:b/>
          <w:sz w:val="32"/>
          <w:szCs w:val="32"/>
        </w:rPr>
        <w:t>ICCA（</w:t>
      </w:r>
      <w:r>
        <w:rPr>
          <w:rFonts w:ascii="楷体" w:hAnsi="楷体" w:eastAsia="楷体"/>
          <w:b/>
          <w:sz w:val="32"/>
          <w:szCs w:val="32"/>
        </w:rPr>
        <w:t>国际大会及会议协会</w:t>
      </w:r>
      <w:r>
        <w:rPr>
          <w:rFonts w:hint="eastAsia" w:ascii="楷体" w:hAnsi="楷体" w:eastAsia="楷体"/>
          <w:b/>
          <w:sz w:val="32"/>
          <w:szCs w:val="32"/>
        </w:rPr>
        <w:t>）认证的国际会议</w:t>
      </w:r>
      <w:r>
        <w:rPr>
          <w:rFonts w:hint="eastAsia" w:ascii="楷体" w:hAnsi="楷体" w:eastAsia="楷体" w:cs="仿宋_GB2312"/>
          <w:b/>
          <w:sz w:val="32"/>
          <w:szCs w:val="32"/>
        </w:rPr>
        <w:t>给予</w:t>
      </w:r>
      <w:r>
        <w:rPr>
          <w:rFonts w:hint="eastAsia" w:ascii="楷体" w:hAnsi="楷体" w:eastAsia="楷体"/>
          <w:b/>
          <w:sz w:val="32"/>
          <w:szCs w:val="32"/>
        </w:rPr>
        <w:t>不超过</w:t>
      </w:r>
      <w:r>
        <w:rPr>
          <w:rFonts w:ascii="楷体" w:hAnsi="楷体" w:eastAsia="楷体" w:cs="仿宋_GB2312"/>
          <w:b/>
          <w:sz w:val="32"/>
          <w:szCs w:val="32"/>
        </w:rPr>
        <w:t>20</w:t>
      </w:r>
      <w:r>
        <w:rPr>
          <w:rFonts w:hint="eastAsia" w:ascii="楷体" w:hAnsi="楷体" w:eastAsia="楷体" w:cs="仿宋_GB2312"/>
          <w:b/>
          <w:sz w:val="32"/>
          <w:szCs w:val="32"/>
        </w:rPr>
        <w:t>万元的一次性奖励。</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rPr>
          <w:rFonts w:ascii="黑体" w:hAnsi="黑体" w:eastAsia="黑体" w:cs="黑体"/>
          <w:b/>
          <w:sz w:val="32"/>
          <w:szCs w:val="40"/>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提供认证等相关材料</w:t>
      </w:r>
      <w:r>
        <w:rPr>
          <w:rFonts w:hint="eastAsia" w:ascii="仿宋_GB2312" w:hAnsi="仿宋_GB2312" w:eastAsia="仿宋_GB2312" w:cs="仿宋_GB2312"/>
          <w:sz w:val="32"/>
          <w:szCs w:val="32"/>
        </w:rPr>
        <w:t>。</w:t>
      </w:r>
    </w:p>
    <w:p>
      <w:pPr>
        <w:spacing w:line="580" w:lineRule="exact"/>
        <w:rPr>
          <w:rFonts w:ascii="黑体" w:hAnsi="黑体" w:eastAsia="黑体"/>
          <w:sz w:val="32"/>
          <w:szCs w:val="32"/>
        </w:rPr>
      </w:pPr>
      <w:r>
        <w:rPr>
          <w:rFonts w:hint="eastAsia" w:ascii="黑体" w:hAnsi="黑体" w:eastAsia="黑体"/>
          <w:sz w:val="32"/>
          <w:szCs w:val="32"/>
        </w:rPr>
        <w:t>五、会展产业创新支持</w:t>
      </w:r>
    </w:p>
    <w:p>
      <w:pPr>
        <w:spacing w:line="580" w:lineRule="exact"/>
        <w:ind w:firstLine="643" w:firstLineChars="200"/>
        <w:rPr>
          <w:rFonts w:eastAsia="仿宋"/>
          <w:sz w:val="32"/>
          <w:szCs w:val="32"/>
        </w:rPr>
      </w:pPr>
      <w:r>
        <w:rPr>
          <w:rFonts w:hint="eastAsia" w:ascii="楷体" w:hAnsi="楷体" w:eastAsia="楷体"/>
          <w:b/>
          <w:sz w:val="32"/>
          <w:szCs w:val="32"/>
        </w:rPr>
        <w:t>（一）支持载体办展。</w:t>
      </w:r>
      <w:r>
        <w:rPr>
          <w:rFonts w:hint="eastAsia" w:eastAsia="仿宋"/>
          <w:sz w:val="32"/>
          <w:szCs w:val="32"/>
        </w:rPr>
        <w:t>在园区重点商业载体举办的对活力提升具有显著促进作用，并具有品牌影响力的展览，展期</w:t>
      </w:r>
      <w:r>
        <w:rPr>
          <w:rFonts w:eastAsia="仿宋"/>
          <w:sz w:val="32"/>
          <w:szCs w:val="32"/>
        </w:rPr>
        <w:t>5</w:t>
      </w:r>
      <w:r>
        <w:rPr>
          <w:rFonts w:hint="eastAsia" w:eastAsia="仿宋"/>
          <w:sz w:val="32"/>
          <w:szCs w:val="32"/>
        </w:rPr>
        <w:t>天及以上，期间载体营业额或人流量同比增长</w:t>
      </w:r>
      <w:r>
        <w:rPr>
          <w:rFonts w:eastAsia="仿宋"/>
          <w:sz w:val="32"/>
          <w:szCs w:val="32"/>
        </w:rPr>
        <w:t>，</w:t>
      </w:r>
      <w:r>
        <w:rPr>
          <w:rFonts w:hint="eastAsia" w:eastAsia="仿宋"/>
          <w:sz w:val="32"/>
          <w:szCs w:val="32"/>
        </w:rPr>
        <w:t>经认定，按每次展览给予载体不超过</w:t>
      </w:r>
      <w:r>
        <w:rPr>
          <w:rFonts w:eastAsia="仿宋"/>
          <w:sz w:val="32"/>
          <w:szCs w:val="32"/>
        </w:rPr>
        <w:t>5</w:t>
      </w:r>
      <w:r>
        <w:rPr>
          <w:rFonts w:hint="eastAsia" w:eastAsia="仿宋"/>
          <w:sz w:val="32"/>
          <w:szCs w:val="32"/>
        </w:rPr>
        <w:t>万元的一次性补贴，每个载体每年补贴金额不超过2</w:t>
      </w:r>
      <w:r>
        <w:rPr>
          <w:rFonts w:eastAsia="仿宋"/>
          <w:sz w:val="32"/>
          <w:szCs w:val="32"/>
        </w:rPr>
        <w:t>0</w:t>
      </w:r>
      <w:r>
        <w:rPr>
          <w:rFonts w:hint="eastAsia" w:eastAsia="仿宋"/>
          <w:sz w:val="32"/>
          <w:szCs w:val="32"/>
        </w:rPr>
        <w:t>万元。</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1、活动介绍和总结（内容须包含如何促进园区城市活力提升和打造品牌影响力相关的措施）；</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2、展期为5天及以上的相关证明材料；</w:t>
      </w:r>
    </w:p>
    <w:p>
      <w:pPr>
        <w:contextualSpacing/>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022年办展期间的</w:t>
      </w:r>
      <w:r>
        <w:rPr>
          <w:rFonts w:hint="eastAsia" w:eastAsia="仿宋"/>
          <w:sz w:val="32"/>
          <w:szCs w:val="32"/>
        </w:rPr>
        <w:t>营业额或人流量与2</w:t>
      </w:r>
      <w:r>
        <w:rPr>
          <w:rFonts w:eastAsia="仿宋"/>
          <w:sz w:val="32"/>
          <w:szCs w:val="32"/>
        </w:rPr>
        <w:t>021年</w:t>
      </w:r>
      <w:r>
        <w:rPr>
          <w:rFonts w:hint="eastAsia" w:eastAsia="仿宋"/>
          <w:sz w:val="32"/>
          <w:szCs w:val="32"/>
        </w:rPr>
        <w:t>同比增长的相关证明材料。</w:t>
      </w:r>
    </w:p>
    <w:p>
      <w:pPr>
        <w:spacing w:line="580" w:lineRule="exact"/>
        <w:ind w:firstLine="643" w:firstLineChars="200"/>
        <w:rPr>
          <w:rFonts w:eastAsia="仿宋"/>
          <w:color w:val="000000"/>
          <w:sz w:val="32"/>
          <w:szCs w:val="32"/>
        </w:rPr>
      </w:pPr>
      <w:r>
        <w:rPr>
          <w:rFonts w:hint="eastAsia" w:ascii="楷体" w:hAnsi="楷体" w:eastAsia="楷体"/>
          <w:b/>
          <w:color w:val="000000"/>
          <w:sz w:val="32"/>
          <w:szCs w:val="32"/>
        </w:rPr>
        <w:t>（二）支持策展型办公。</w:t>
      </w:r>
      <w:r>
        <w:rPr>
          <w:rFonts w:hint="eastAsia" w:eastAsia="仿宋"/>
          <w:color w:val="000000"/>
          <w:sz w:val="32"/>
          <w:szCs w:val="32"/>
        </w:rPr>
        <w:t>将企业策展需求与办公空间有机结合，开展“策展型办公”的产业园区、文创园区等载体</w:t>
      </w:r>
      <w:r>
        <w:rPr>
          <w:rFonts w:eastAsia="仿宋"/>
          <w:color w:val="000000"/>
          <w:sz w:val="32"/>
          <w:szCs w:val="32"/>
        </w:rPr>
        <w:t>作为展示</w:t>
      </w:r>
      <w:r>
        <w:rPr>
          <w:rFonts w:hint="eastAsia" w:eastAsia="仿宋"/>
          <w:color w:val="000000"/>
          <w:sz w:val="32"/>
          <w:szCs w:val="32"/>
        </w:rPr>
        <w:t>与</w:t>
      </w:r>
      <w:r>
        <w:rPr>
          <w:rFonts w:eastAsia="仿宋"/>
          <w:color w:val="000000"/>
          <w:sz w:val="32"/>
          <w:szCs w:val="32"/>
        </w:rPr>
        <w:t>活动空间</w:t>
      </w:r>
      <w:r>
        <w:rPr>
          <w:rFonts w:hint="eastAsia" w:eastAsia="仿宋"/>
          <w:color w:val="000000"/>
          <w:sz w:val="32"/>
          <w:szCs w:val="32"/>
        </w:rPr>
        <w:t>，</w:t>
      </w:r>
      <w:r>
        <w:rPr>
          <w:rFonts w:eastAsia="仿宋"/>
          <w:color w:val="000000"/>
          <w:sz w:val="32"/>
          <w:szCs w:val="32"/>
        </w:rPr>
        <w:t>且每年日常展示时间累计不低于150个工作日的</w:t>
      </w:r>
      <w:r>
        <w:rPr>
          <w:rFonts w:hint="eastAsia" w:eastAsia="仿宋"/>
          <w:color w:val="000000"/>
          <w:sz w:val="32"/>
          <w:szCs w:val="32"/>
        </w:rPr>
        <w:t>，经认定，给予载体每年不超过5万元的一次性补贴。</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1、活动介绍和总结（内容须包含“</w:t>
      </w:r>
      <w:r>
        <w:rPr>
          <w:rFonts w:hint="eastAsia" w:eastAsia="仿宋"/>
          <w:color w:val="000000"/>
          <w:sz w:val="32"/>
          <w:szCs w:val="32"/>
        </w:rPr>
        <w:t>策展型办公</w:t>
      </w:r>
      <w:r>
        <w:rPr>
          <w:rFonts w:hint="eastAsia" w:ascii="仿宋_GB2312" w:hAnsi="仿宋_GB2312" w:eastAsia="仿宋_GB2312" w:cs="仿宋_GB2312"/>
          <w:sz w:val="32"/>
          <w:szCs w:val="32"/>
        </w:rPr>
        <w:t>”相关介绍）；</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2、载体出具的2</w:t>
      </w:r>
      <w:r>
        <w:rPr>
          <w:rFonts w:ascii="仿宋_GB2312" w:hAnsi="仿宋_GB2312" w:eastAsia="仿宋_GB2312" w:cs="仿宋_GB2312"/>
          <w:sz w:val="32"/>
          <w:szCs w:val="32"/>
        </w:rPr>
        <w:t>022年</w:t>
      </w:r>
      <w:r>
        <w:rPr>
          <w:rFonts w:eastAsia="仿宋"/>
          <w:color w:val="000000"/>
          <w:sz w:val="32"/>
          <w:szCs w:val="32"/>
        </w:rPr>
        <w:t>展示时间累计不低于150个工作日的</w:t>
      </w:r>
      <w:r>
        <w:rPr>
          <w:rFonts w:hint="eastAsia" w:ascii="仿宋_GB2312" w:hAnsi="仿宋_GB2312" w:eastAsia="仿宋_GB2312" w:cs="仿宋_GB2312"/>
          <w:sz w:val="32"/>
          <w:szCs w:val="32"/>
        </w:rPr>
        <w:t>相关证明材料；</w:t>
      </w:r>
    </w:p>
    <w:p>
      <w:pPr>
        <w:contextualSpacing/>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、与载体签订的租赁合同</w:t>
      </w:r>
      <w:r>
        <w:rPr>
          <w:rFonts w:hint="eastAsia" w:eastAsia="仿宋"/>
          <w:sz w:val="32"/>
          <w:szCs w:val="32"/>
        </w:rPr>
        <w:t>。</w:t>
      </w:r>
    </w:p>
    <w:p>
      <w:pPr>
        <w:spacing w:line="580" w:lineRule="exact"/>
        <w:ind w:firstLine="643" w:firstLineChars="200"/>
        <w:rPr>
          <w:rFonts w:eastAsia="仿宋"/>
          <w:color w:val="000000"/>
          <w:sz w:val="32"/>
          <w:szCs w:val="32"/>
        </w:rPr>
      </w:pPr>
      <w:r>
        <w:rPr>
          <w:rFonts w:ascii="楷体" w:hAnsi="楷体" w:eastAsia="楷体"/>
          <w:b/>
          <w:color w:val="000000"/>
          <w:sz w:val="32"/>
          <w:szCs w:val="32"/>
        </w:rPr>
        <w:t>（三）</w:t>
      </w:r>
      <w:r>
        <w:rPr>
          <w:rFonts w:hint="eastAsia" w:ascii="楷体" w:hAnsi="楷体" w:eastAsia="楷体"/>
          <w:b/>
          <w:color w:val="000000"/>
          <w:sz w:val="32"/>
          <w:szCs w:val="32"/>
        </w:rPr>
        <w:t>支持会展创新。</w:t>
      </w:r>
      <w:r>
        <w:rPr>
          <w:rFonts w:hint="eastAsia" w:eastAsia="仿宋"/>
          <w:color w:val="000000"/>
          <w:sz w:val="32"/>
          <w:szCs w:val="32"/>
        </w:rPr>
        <w:t>对展会应用5G、大数据、人工智能、元宇宙等新型数字解决方案的，经认定，给予投入3</w:t>
      </w:r>
      <w:r>
        <w:rPr>
          <w:rFonts w:eastAsia="仿宋"/>
          <w:color w:val="000000"/>
          <w:sz w:val="32"/>
          <w:szCs w:val="32"/>
        </w:rPr>
        <w:t>0%</w:t>
      </w:r>
      <w:r>
        <w:rPr>
          <w:rFonts w:hint="eastAsia" w:eastAsia="仿宋"/>
          <w:color w:val="000000"/>
          <w:sz w:val="32"/>
          <w:szCs w:val="32"/>
        </w:rPr>
        <w:t>的补贴，最高不超过10万元。</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1、活动介绍和总结（内容须包含采用数字化解决方案相关的情况介绍）；</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2、数字化解决方案的相关合同、发票、付款凭证及费用明细表；</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3、申请本条政策需满足上述政策中任意一个条款的要求。</w:t>
      </w:r>
    </w:p>
    <w:p>
      <w:pPr>
        <w:spacing w:line="580" w:lineRule="exact"/>
        <w:rPr>
          <w:rFonts w:eastAsia="仿宋"/>
          <w:sz w:val="32"/>
          <w:szCs w:val="32"/>
        </w:rPr>
      </w:pPr>
    </w:p>
    <w:p>
      <w:pPr>
        <w:ind w:firstLine="640" w:firstLineChars="200"/>
        <w:rPr>
          <w:rFonts w:ascii="仿宋_GB2312" w:hAnsi="仿宋_GB2312" w:eastAsia="仿宋_GB2312" w:cs="仿宋_GB2312"/>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骝.">
    <w:altName w:val="宋体"/>
    <w:panose1 w:val="00000000000000000000"/>
    <w:charset w:val="86"/>
    <w:family w:val="roma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Microsoft YaHei UI"/>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D5CF7"/>
    <w:multiLevelType w:val="multilevel"/>
    <w:tmpl w:val="6CBD5CF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5B"/>
    <w:rsid w:val="0000200B"/>
    <w:rsid w:val="0000293B"/>
    <w:rsid w:val="000132C0"/>
    <w:rsid w:val="000144A9"/>
    <w:rsid w:val="00021A5F"/>
    <w:rsid w:val="00022E9F"/>
    <w:rsid w:val="0003070E"/>
    <w:rsid w:val="00033F12"/>
    <w:rsid w:val="00045B43"/>
    <w:rsid w:val="00046DC3"/>
    <w:rsid w:val="00054F29"/>
    <w:rsid w:val="00056A97"/>
    <w:rsid w:val="00057006"/>
    <w:rsid w:val="00060A2B"/>
    <w:rsid w:val="0006109C"/>
    <w:rsid w:val="00061CB8"/>
    <w:rsid w:val="000642B1"/>
    <w:rsid w:val="00070E7E"/>
    <w:rsid w:val="00071410"/>
    <w:rsid w:val="00076940"/>
    <w:rsid w:val="00081347"/>
    <w:rsid w:val="000857BA"/>
    <w:rsid w:val="000868ED"/>
    <w:rsid w:val="00086B21"/>
    <w:rsid w:val="000871B1"/>
    <w:rsid w:val="00090C5A"/>
    <w:rsid w:val="000A3D42"/>
    <w:rsid w:val="000B0C81"/>
    <w:rsid w:val="000B1DCA"/>
    <w:rsid w:val="000B3073"/>
    <w:rsid w:val="000C18FC"/>
    <w:rsid w:val="000C2DFA"/>
    <w:rsid w:val="000C46B0"/>
    <w:rsid w:val="000D0527"/>
    <w:rsid w:val="000D1BDE"/>
    <w:rsid w:val="000D78BD"/>
    <w:rsid w:val="000E0554"/>
    <w:rsid w:val="000E070F"/>
    <w:rsid w:val="000E5558"/>
    <w:rsid w:val="000F2794"/>
    <w:rsid w:val="000F3CF7"/>
    <w:rsid w:val="000F407C"/>
    <w:rsid w:val="000F4215"/>
    <w:rsid w:val="000F66C9"/>
    <w:rsid w:val="00100C4E"/>
    <w:rsid w:val="00102FD3"/>
    <w:rsid w:val="00104C13"/>
    <w:rsid w:val="00105703"/>
    <w:rsid w:val="001063B9"/>
    <w:rsid w:val="001114A7"/>
    <w:rsid w:val="00121FF9"/>
    <w:rsid w:val="00123048"/>
    <w:rsid w:val="00126F3C"/>
    <w:rsid w:val="0014677F"/>
    <w:rsid w:val="0015363C"/>
    <w:rsid w:val="00154818"/>
    <w:rsid w:val="00156369"/>
    <w:rsid w:val="0016068D"/>
    <w:rsid w:val="00160AD7"/>
    <w:rsid w:val="001612B7"/>
    <w:rsid w:val="00161AD4"/>
    <w:rsid w:val="001639A0"/>
    <w:rsid w:val="00167618"/>
    <w:rsid w:val="0017067F"/>
    <w:rsid w:val="00172A27"/>
    <w:rsid w:val="00186916"/>
    <w:rsid w:val="00186ADD"/>
    <w:rsid w:val="00187677"/>
    <w:rsid w:val="001918CD"/>
    <w:rsid w:val="001934CF"/>
    <w:rsid w:val="001A009A"/>
    <w:rsid w:val="001A01A6"/>
    <w:rsid w:val="001A058F"/>
    <w:rsid w:val="001A3004"/>
    <w:rsid w:val="001A4417"/>
    <w:rsid w:val="001A4C35"/>
    <w:rsid w:val="001A55E8"/>
    <w:rsid w:val="001A71B3"/>
    <w:rsid w:val="001C2C61"/>
    <w:rsid w:val="001C540B"/>
    <w:rsid w:val="001C6B35"/>
    <w:rsid w:val="001D0AB2"/>
    <w:rsid w:val="001E12D4"/>
    <w:rsid w:val="001E7724"/>
    <w:rsid w:val="001F0940"/>
    <w:rsid w:val="001F286E"/>
    <w:rsid w:val="001F3D8E"/>
    <w:rsid w:val="001F4924"/>
    <w:rsid w:val="00205215"/>
    <w:rsid w:val="002058CA"/>
    <w:rsid w:val="0021159B"/>
    <w:rsid w:val="002124C8"/>
    <w:rsid w:val="00216D53"/>
    <w:rsid w:val="0022724A"/>
    <w:rsid w:val="00231CA3"/>
    <w:rsid w:val="00234A40"/>
    <w:rsid w:val="0023543E"/>
    <w:rsid w:val="00241964"/>
    <w:rsid w:val="0024217F"/>
    <w:rsid w:val="00242E3E"/>
    <w:rsid w:val="00250142"/>
    <w:rsid w:val="00254278"/>
    <w:rsid w:val="00256B3E"/>
    <w:rsid w:val="00260DAD"/>
    <w:rsid w:val="0026157E"/>
    <w:rsid w:val="00262101"/>
    <w:rsid w:val="00263BF8"/>
    <w:rsid w:val="0026623B"/>
    <w:rsid w:val="00271693"/>
    <w:rsid w:val="00272D4F"/>
    <w:rsid w:val="00274F0B"/>
    <w:rsid w:val="00276EA8"/>
    <w:rsid w:val="00284C17"/>
    <w:rsid w:val="00290BA7"/>
    <w:rsid w:val="002949E0"/>
    <w:rsid w:val="002A2887"/>
    <w:rsid w:val="002A5CD7"/>
    <w:rsid w:val="002C121B"/>
    <w:rsid w:val="002C1BAA"/>
    <w:rsid w:val="002C3A10"/>
    <w:rsid w:val="002D30E1"/>
    <w:rsid w:val="002D7132"/>
    <w:rsid w:val="002E5398"/>
    <w:rsid w:val="002F175D"/>
    <w:rsid w:val="002F7F58"/>
    <w:rsid w:val="00302F5D"/>
    <w:rsid w:val="003132CB"/>
    <w:rsid w:val="0031577B"/>
    <w:rsid w:val="00317B07"/>
    <w:rsid w:val="003200DE"/>
    <w:rsid w:val="00325079"/>
    <w:rsid w:val="003250D0"/>
    <w:rsid w:val="003302C9"/>
    <w:rsid w:val="00333A4F"/>
    <w:rsid w:val="00335047"/>
    <w:rsid w:val="00335E3F"/>
    <w:rsid w:val="0033621F"/>
    <w:rsid w:val="00341427"/>
    <w:rsid w:val="0034184A"/>
    <w:rsid w:val="003446B1"/>
    <w:rsid w:val="00344F38"/>
    <w:rsid w:val="00346A52"/>
    <w:rsid w:val="00350A4C"/>
    <w:rsid w:val="0035171B"/>
    <w:rsid w:val="00357E52"/>
    <w:rsid w:val="003638A3"/>
    <w:rsid w:val="00366EC7"/>
    <w:rsid w:val="00366FFE"/>
    <w:rsid w:val="00367B19"/>
    <w:rsid w:val="00367DCC"/>
    <w:rsid w:val="00371CE0"/>
    <w:rsid w:val="00377B5F"/>
    <w:rsid w:val="00380ADD"/>
    <w:rsid w:val="003819ED"/>
    <w:rsid w:val="003828CB"/>
    <w:rsid w:val="00384346"/>
    <w:rsid w:val="003901F1"/>
    <w:rsid w:val="003914CE"/>
    <w:rsid w:val="00393473"/>
    <w:rsid w:val="00395DC5"/>
    <w:rsid w:val="003961F0"/>
    <w:rsid w:val="003A09FE"/>
    <w:rsid w:val="003A119F"/>
    <w:rsid w:val="003A1F96"/>
    <w:rsid w:val="003A7412"/>
    <w:rsid w:val="003B0BBC"/>
    <w:rsid w:val="003B2BF4"/>
    <w:rsid w:val="003B396E"/>
    <w:rsid w:val="003B401E"/>
    <w:rsid w:val="003B5A22"/>
    <w:rsid w:val="003B6ECA"/>
    <w:rsid w:val="003C1BF2"/>
    <w:rsid w:val="003C3A3A"/>
    <w:rsid w:val="003C4382"/>
    <w:rsid w:val="003D0050"/>
    <w:rsid w:val="003E1B2E"/>
    <w:rsid w:val="003E3062"/>
    <w:rsid w:val="003E71D4"/>
    <w:rsid w:val="003F0EBD"/>
    <w:rsid w:val="003F2223"/>
    <w:rsid w:val="00400743"/>
    <w:rsid w:val="00402543"/>
    <w:rsid w:val="0040362B"/>
    <w:rsid w:val="004053E3"/>
    <w:rsid w:val="00405C50"/>
    <w:rsid w:val="00416CFA"/>
    <w:rsid w:val="00417CE1"/>
    <w:rsid w:val="00421C60"/>
    <w:rsid w:val="0042524D"/>
    <w:rsid w:val="00426596"/>
    <w:rsid w:val="00426B7A"/>
    <w:rsid w:val="00432797"/>
    <w:rsid w:val="0043382A"/>
    <w:rsid w:val="00433F5A"/>
    <w:rsid w:val="0043477F"/>
    <w:rsid w:val="0043774B"/>
    <w:rsid w:val="00442CBB"/>
    <w:rsid w:val="0044737F"/>
    <w:rsid w:val="004513CA"/>
    <w:rsid w:val="0045183A"/>
    <w:rsid w:val="00451904"/>
    <w:rsid w:val="00451D0C"/>
    <w:rsid w:val="00452A69"/>
    <w:rsid w:val="0045476F"/>
    <w:rsid w:val="0045562C"/>
    <w:rsid w:val="00462A0D"/>
    <w:rsid w:val="00463CA1"/>
    <w:rsid w:val="00470F27"/>
    <w:rsid w:val="00471DC1"/>
    <w:rsid w:val="0047635A"/>
    <w:rsid w:val="004976DE"/>
    <w:rsid w:val="00497A29"/>
    <w:rsid w:val="004B180E"/>
    <w:rsid w:val="004B2F03"/>
    <w:rsid w:val="004C2A9C"/>
    <w:rsid w:val="004C7AEC"/>
    <w:rsid w:val="004C7EE9"/>
    <w:rsid w:val="004D1C95"/>
    <w:rsid w:val="004D1F01"/>
    <w:rsid w:val="004D2352"/>
    <w:rsid w:val="004D2FFC"/>
    <w:rsid w:val="004D6C11"/>
    <w:rsid w:val="004E2473"/>
    <w:rsid w:val="004E5528"/>
    <w:rsid w:val="004E6E8D"/>
    <w:rsid w:val="004E7530"/>
    <w:rsid w:val="004F08C4"/>
    <w:rsid w:val="004F3783"/>
    <w:rsid w:val="004F660F"/>
    <w:rsid w:val="004F6729"/>
    <w:rsid w:val="004F7829"/>
    <w:rsid w:val="005010C5"/>
    <w:rsid w:val="00501DBA"/>
    <w:rsid w:val="00502D65"/>
    <w:rsid w:val="00510107"/>
    <w:rsid w:val="00510930"/>
    <w:rsid w:val="00513AD0"/>
    <w:rsid w:val="00516BE4"/>
    <w:rsid w:val="00524760"/>
    <w:rsid w:val="005340A1"/>
    <w:rsid w:val="0054326F"/>
    <w:rsid w:val="0054782B"/>
    <w:rsid w:val="005546DE"/>
    <w:rsid w:val="00560B7F"/>
    <w:rsid w:val="005627A6"/>
    <w:rsid w:val="00566D8A"/>
    <w:rsid w:val="00567A22"/>
    <w:rsid w:val="00571451"/>
    <w:rsid w:val="00575746"/>
    <w:rsid w:val="00584FD8"/>
    <w:rsid w:val="005859E6"/>
    <w:rsid w:val="00587BE0"/>
    <w:rsid w:val="00587EB2"/>
    <w:rsid w:val="00593AF8"/>
    <w:rsid w:val="00595821"/>
    <w:rsid w:val="005A13DE"/>
    <w:rsid w:val="005A4CDA"/>
    <w:rsid w:val="005A5218"/>
    <w:rsid w:val="005A5CCE"/>
    <w:rsid w:val="005A76AE"/>
    <w:rsid w:val="005B5703"/>
    <w:rsid w:val="005C6471"/>
    <w:rsid w:val="005D1B2A"/>
    <w:rsid w:val="005D3284"/>
    <w:rsid w:val="005D6D95"/>
    <w:rsid w:val="005E06D8"/>
    <w:rsid w:val="005E0F58"/>
    <w:rsid w:val="005E1875"/>
    <w:rsid w:val="005E393F"/>
    <w:rsid w:val="005E73C3"/>
    <w:rsid w:val="005F455D"/>
    <w:rsid w:val="00601EDA"/>
    <w:rsid w:val="00604474"/>
    <w:rsid w:val="00604CD1"/>
    <w:rsid w:val="00605329"/>
    <w:rsid w:val="00605849"/>
    <w:rsid w:val="00610F9E"/>
    <w:rsid w:val="00614735"/>
    <w:rsid w:val="00622017"/>
    <w:rsid w:val="00623190"/>
    <w:rsid w:val="006268BB"/>
    <w:rsid w:val="00627AA4"/>
    <w:rsid w:val="00632C83"/>
    <w:rsid w:val="00635A7B"/>
    <w:rsid w:val="00641204"/>
    <w:rsid w:val="00641D50"/>
    <w:rsid w:val="00642F83"/>
    <w:rsid w:val="006445BB"/>
    <w:rsid w:val="0064707D"/>
    <w:rsid w:val="006517BC"/>
    <w:rsid w:val="00651BF7"/>
    <w:rsid w:val="006527AC"/>
    <w:rsid w:val="00654D9A"/>
    <w:rsid w:val="00660FC2"/>
    <w:rsid w:val="006632EE"/>
    <w:rsid w:val="0067283B"/>
    <w:rsid w:val="00673A31"/>
    <w:rsid w:val="00676EB6"/>
    <w:rsid w:val="00676FD7"/>
    <w:rsid w:val="00677727"/>
    <w:rsid w:val="00680A12"/>
    <w:rsid w:val="00682C24"/>
    <w:rsid w:val="006925D7"/>
    <w:rsid w:val="00694D1A"/>
    <w:rsid w:val="00696453"/>
    <w:rsid w:val="006A0745"/>
    <w:rsid w:val="006A4E09"/>
    <w:rsid w:val="006A697D"/>
    <w:rsid w:val="006B2FBF"/>
    <w:rsid w:val="006B398C"/>
    <w:rsid w:val="006B5801"/>
    <w:rsid w:val="006B7589"/>
    <w:rsid w:val="006C29EB"/>
    <w:rsid w:val="006C541C"/>
    <w:rsid w:val="006C7923"/>
    <w:rsid w:val="006D1497"/>
    <w:rsid w:val="006E7C5C"/>
    <w:rsid w:val="006E7EEE"/>
    <w:rsid w:val="00700419"/>
    <w:rsid w:val="00710F46"/>
    <w:rsid w:val="0071106E"/>
    <w:rsid w:val="00714475"/>
    <w:rsid w:val="0071497E"/>
    <w:rsid w:val="00716919"/>
    <w:rsid w:val="00727A51"/>
    <w:rsid w:val="007314B1"/>
    <w:rsid w:val="007337C0"/>
    <w:rsid w:val="007401C7"/>
    <w:rsid w:val="0074065C"/>
    <w:rsid w:val="00741912"/>
    <w:rsid w:val="00741CF7"/>
    <w:rsid w:val="00743D98"/>
    <w:rsid w:val="00745531"/>
    <w:rsid w:val="00746A83"/>
    <w:rsid w:val="00746DB6"/>
    <w:rsid w:val="00746E6F"/>
    <w:rsid w:val="007526E1"/>
    <w:rsid w:val="007537C9"/>
    <w:rsid w:val="007537DC"/>
    <w:rsid w:val="00753DC7"/>
    <w:rsid w:val="00755E8F"/>
    <w:rsid w:val="007607D0"/>
    <w:rsid w:val="00763886"/>
    <w:rsid w:val="00765647"/>
    <w:rsid w:val="00774D9A"/>
    <w:rsid w:val="007769F3"/>
    <w:rsid w:val="00776F34"/>
    <w:rsid w:val="00790198"/>
    <w:rsid w:val="00791722"/>
    <w:rsid w:val="007935C2"/>
    <w:rsid w:val="00797128"/>
    <w:rsid w:val="007A771F"/>
    <w:rsid w:val="007B1983"/>
    <w:rsid w:val="007B4FAF"/>
    <w:rsid w:val="007B78F3"/>
    <w:rsid w:val="007C345B"/>
    <w:rsid w:val="007C7846"/>
    <w:rsid w:val="007D17D1"/>
    <w:rsid w:val="007D2A83"/>
    <w:rsid w:val="007D34DE"/>
    <w:rsid w:val="007D521A"/>
    <w:rsid w:val="007D57A4"/>
    <w:rsid w:val="007E0A95"/>
    <w:rsid w:val="007E0C0F"/>
    <w:rsid w:val="007E1F2E"/>
    <w:rsid w:val="007E4023"/>
    <w:rsid w:val="007E479E"/>
    <w:rsid w:val="007E73C1"/>
    <w:rsid w:val="007E7A21"/>
    <w:rsid w:val="007F757E"/>
    <w:rsid w:val="007F7A63"/>
    <w:rsid w:val="00803869"/>
    <w:rsid w:val="00814A99"/>
    <w:rsid w:val="00814B94"/>
    <w:rsid w:val="008161E9"/>
    <w:rsid w:val="00820D4F"/>
    <w:rsid w:val="00824C2F"/>
    <w:rsid w:val="008263F1"/>
    <w:rsid w:val="0082701B"/>
    <w:rsid w:val="00827A4F"/>
    <w:rsid w:val="00831605"/>
    <w:rsid w:val="00831DD1"/>
    <w:rsid w:val="00831E55"/>
    <w:rsid w:val="00832583"/>
    <w:rsid w:val="00832DFB"/>
    <w:rsid w:val="0083471F"/>
    <w:rsid w:val="0083692C"/>
    <w:rsid w:val="0084330B"/>
    <w:rsid w:val="00843572"/>
    <w:rsid w:val="00844757"/>
    <w:rsid w:val="00850D34"/>
    <w:rsid w:val="008516DC"/>
    <w:rsid w:val="00854509"/>
    <w:rsid w:val="00854F02"/>
    <w:rsid w:val="00857909"/>
    <w:rsid w:val="00860723"/>
    <w:rsid w:val="00863EDE"/>
    <w:rsid w:val="00864C0B"/>
    <w:rsid w:val="00865F04"/>
    <w:rsid w:val="008676BF"/>
    <w:rsid w:val="00874E4E"/>
    <w:rsid w:val="00875475"/>
    <w:rsid w:val="008847D6"/>
    <w:rsid w:val="0089509A"/>
    <w:rsid w:val="008B60F1"/>
    <w:rsid w:val="008C2F81"/>
    <w:rsid w:val="008C5F94"/>
    <w:rsid w:val="008D38EA"/>
    <w:rsid w:val="008D6564"/>
    <w:rsid w:val="008D691E"/>
    <w:rsid w:val="008E2AC9"/>
    <w:rsid w:val="008E7662"/>
    <w:rsid w:val="008F750F"/>
    <w:rsid w:val="00910C94"/>
    <w:rsid w:val="00913029"/>
    <w:rsid w:val="0091354C"/>
    <w:rsid w:val="00920A00"/>
    <w:rsid w:val="0092221C"/>
    <w:rsid w:val="00924176"/>
    <w:rsid w:val="00925629"/>
    <w:rsid w:val="00927C46"/>
    <w:rsid w:val="009314D2"/>
    <w:rsid w:val="00931D64"/>
    <w:rsid w:val="00932A6F"/>
    <w:rsid w:val="009337E3"/>
    <w:rsid w:val="00934AF8"/>
    <w:rsid w:val="009409B6"/>
    <w:rsid w:val="00953A24"/>
    <w:rsid w:val="009546FF"/>
    <w:rsid w:val="00954AFF"/>
    <w:rsid w:val="00956210"/>
    <w:rsid w:val="009602C7"/>
    <w:rsid w:val="009608BE"/>
    <w:rsid w:val="00960FB4"/>
    <w:rsid w:val="009627B1"/>
    <w:rsid w:val="009711A7"/>
    <w:rsid w:val="00972324"/>
    <w:rsid w:val="00983B89"/>
    <w:rsid w:val="00984FC4"/>
    <w:rsid w:val="0098730A"/>
    <w:rsid w:val="00987ED9"/>
    <w:rsid w:val="009923B2"/>
    <w:rsid w:val="00994B5E"/>
    <w:rsid w:val="00994BCB"/>
    <w:rsid w:val="00996907"/>
    <w:rsid w:val="009A041F"/>
    <w:rsid w:val="009A1DD8"/>
    <w:rsid w:val="009A7C75"/>
    <w:rsid w:val="009B015B"/>
    <w:rsid w:val="009B2499"/>
    <w:rsid w:val="009B2B31"/>
    <w:rsid w:val="009B567B"/>
    <w:rsid w:val="009C05A6"/>
    <w:rsid w:val="009C2E75"/>
    <w:rsid w:val="009C558C"/>
    <w:rsid w:val="009C5BCF"/>
    <w:rsid w:val="009C6658"/>
    <w:rsid w:val="009D06D4"/>
    <w:rsid w:val="009D09C5"/>
    <w:rsid w:val="009D7710"/>
    <w:rsid w:val="009D79BE"/>
    <w:rsid w:val="009E127E"/>
    <w:rsid w:val="009E264F"/>
    <w:rsid w:val="009E2A2C"/>
    <w:rsid w:val="009F1125"/>
    <w:rsid w:val="009F3085"/>
    <w:rsid w:val="009F7447"/>
    <w:rsid w:val="00A04236"/>
    <w:rsid w:val="00A10E35"/>
    <w:rsid w:val="00A13557"/>
    <w:rsid w:val="00A1534E"/>
    <w:rsid w:val="00A15E7D"/>
    <w:rsid w:val="00A17DAB"/>
    <w:rsid w:val="00A2026C"/>
    <w:rsid w:val="00A20441"/>
    <w:rsid w:val="00A24590"/>
    <w:rsid w:val="00A3004D"/>
    <w:rsid w:val="00A30BF5"/>
    <w:rsid w:val="00A37E82"/>
    <w:rsid w:val="00A4005D"/>
    <w:rsid w:val="00A4403A"/>
    <w:rsid w:val="00A44B41"/>
    <w:rsid w:val="00A455A8"/>
    <w:rsid w:val="00A46782"/>
    <w:rsid w:val="00A52D1D"/>
    <w:rsid w:val="00A53179"/>
    <w:rsid w:val="00A5330D"/>
    <w:rsid w:val="00A53A6C"/>
    <w:rsid w:val="00A56620"/>
    <w:rsid w:val="00A57F64"/>
    <w:rsid w:val="00A60BC1"/>
    <w:rsid w:val="00A6107D"/>
    <w:rsid w:val="00A641AD"/>
    <w:rsid w:val="00A656B0"/>
    <w:rsid w:val="00A66816"/>
    <w:rsid w:val="00A72BFB"/>
    <w:rsid w:val="00A74361"/>
    <w:rsid w:val="00A75541"/>
    <w:rsid w:val="00A811E7"/>
    <w:rsid w:val="00A81503"/>
    <w:rsid w:val="00A837B9"/>
    <w:rsid w:val="00A84495"/>
    <w:rsid w:val="00A84842"/>
    <w:rsid w:val="00A9108A"/>
    <w:rsid w:val="00A957E6"/>
    <w:rsid w:val="00A9618D"/>
    <w:rsid w:val="00A97821"/>
    <w:rsid w:val="00AA07E1"/>
    <w:rsid w:val="00AA19EF"/>
    <w:rsid w:val="00AA2EEC"/>
    <w:rsid w:val="00AA2F74"/>
    <w:rsid w:val="00AA503D"/>
    <w:rsid w:val="00AB5626"/>
    <w:rsid w:val="00AB7B3E"/>
    <w:rsid w:val="00AC004F"/>
    <w:rsid w:val="00AC07E5"/>
    <w:rsid w:val="00AC1393"/>
    <w:rsid w:val="00AC2D35"/>
    <w:rsid w:val="00AC30CC"/>
    <w:rsid w:val="00AC7AA5"/>
    <w:rsid w:val="00AD1F9D"/>
    <w:rsid w:val="00AD2E5C"/>
    <w:rsid w:val="00AD62C0"/>
    <w:rsid w:val="00AD6AB5"/>
    <w:rsid w:val="00AE2526"/>
    <w:rsid w:val="00AE795D"/>
    <w:rsid w:val="00AF1025"/>
    <w:rsid w:val="00AF1CF9"/>
    <w:rsid w:val="00AF3012"/>
    <w:rsid w:val="00B00F28"/>
    <w:rsid w:val="00B12622"/>
    <w:rsid w:val="00B30D6F"/>
    <w:rsid w:val="00B31E94"/>
    <w:rsid w:val="00B32184"/>
    <w:rsid w:val="00B404C7"/>
    <w:rsid w:val="00B43695"/>
    <w:rsid w:val="00B56F29"/>
    <w:rsid w:val="00B6286C"/>
    <w:rsid w:val="00B6582E"/>
    <w:rsid w:val="00B72B33"/>
    <w:rsid w:val="00B7647E"/>
    <w:rsid w:val="00B85B4E"/>
    <w:rsid w:val="00B85D96"/>
    <w:rsid w:val="00B908CD"/>
    <w:rsid w:val="00B919D1"/>
    <w:rsid w:val="00BA0E0B"/>
    <w:rsid w:val="00BA1C38"/>
    <w:rsid w:val="00BA259F"/>
    <w:rsid w:val="00BA7FC9"/>
    <w:rsid w:val="00BB0B8B"/>
    <w:rsid w:val="00BB53D6"/>
    <w:rsid w:val="00BB58A4"/>
    <w:rsid w:val="00BB6478"/>
    <w:rsid w:val="00BB76F5"/>
    <w:rsid w:val="00BC1810"/>
    <w:rsid w:val="00BC5A8B"/>
    <w:rsid w:val="00BD275A"/>
    <w:rsid w:val="00BD3821"/>
    <w:rsid w:val="00BD6355"/>
    <w:rsid w:val="00BD7DAB"/>
    <w:rsid w:val="00BE0EC0"/>
    <w:rsid w:val="00BE485F"/>
    <w:rsid w:val="00BE490B"/>
    <w:rsid w:val="00BE4DEF"/>
    <w:rsid w:val="00BE554D"/>
    <w:rsid w:val="00BF317D"/>
    <w:rsid w:val="00C00629"/>
    <w:rsid w:val="00C00D46"/>
    <w:rsid w:val="00C04C91"/>
    <w:rsid w:val="00C120D8"/>
    <w:rsid w:val="00C12A51"/>
    <w:rsid w:val="00C17420"/>
    <w:rsid w:val="00C2153C"/>
    <w:rsid w:val="00C23687"/>
    <w:rsid w:val="00C2369C"/>
    <w:rsid w:val="00C24290"/>
    <w:rsid w:val="00C24B98"/>
    <w:rsid w:val="00C270BB"/>
    <w:rsid w:val="00C35EEB"/>
    <w:rsid w:val="00C3620D"/>
    <w:rsid w:val="00C36962"/>
    <w:rsid w:val="00C40F3A"/>
    <w:rsid w:val="00C43CCE"/>
    <w:rsid w:val="00C473CB"/>
    <w:rsid w:val="00C52800"/>
    <w:rsid w:val="00C54649"/>
    <w:rsid w:val="00C62B24"/>
    <w:rsid w:val="00C70DD7"/>
    <w:rsid w:val="00C81F67"/>
    <w:rsid w:val="00C91925"/>
    <w:rsid w:val="00C96A1F"/>
    <w:rsid w:val="00CB21CF"/>
    <w:rsid w:val="00CB72B6"/>
    <w:rsid w:val="00CC1290"/>
    <w:rsid w:val="00CC4151"/>
    <w:rsid w:val="00CC7DA9"/>
    <w:rsid w:val="00CD2AB7"/>
    <w:rsid w:val="00CE1BF6"/>
    <w:rsid w:val="00CE2517"/>
    <w:rsid w:val="00CE6C1A"/>
    <w:rsid w:val="00CF0EEF"/>
    <w:rsid w:val="00CF2A76"/>
    <w:rsid w:val="00CF2A77"/>
    <w:rsid w:val="00CF2EBD"/>
    <w:rsid w:val="00CF4FA7"/>
    <w:rsid w:val="00D00DEF"/>
    <w:rsid w:val="00D12629"/>
    <w:rsid w:val="00D13D6A"/>
    <w:rsid w:val="00D16C8B"/>
    <w:rsid w:val="00D26893"/>
    <w:rsid w:val="00D458ED"/>
    <w:rsid w:val="00D502D1"/>
    <w:rsid w:val="00D50332"/>
    <w:rsid w:val="00D50A09"/>
    <w:rsid w:val="00D53EA7"/>
    <w:rsid w:val="00D559DB"/>
    <w:rsid w:val="00D65481"/>
    <w:rsid w:val="00D65EC9"/>
    <w:rsid w:val="00D73EBD"/>
    <w:rsid w:val="00D74D85"/>
    <w:rsid w:val="00D761BD"/>
    <w:rsid w:val="00D76AC7"/>
    <w:rsid w:val="00D84D4C"/>
    <w:rsid w:val="00D868F6"/>
    <w:rsid w:val="00D90C7F"/>
    <w:rsid w:val="00D91926"/>
    <w:rsid w:val="00D9228C"/>
    <w:rsid w:val="00D9391A"/>
    <w:rsid w:val="00D94F96"/>
    <w:rsid w:val="00DA15D9"/>
    <w:rsid w:val="00DA441C"/>
    <w:rsid w:val="00DA6644"/>
    <w:rsid w:val="00DB42B6"/>
    <w:rsid w:val="00DC3B20"/>
    <w:rsid w:val="00DC6C78"/>
    <w:rsid w:val="00DD2396"/>
    <w:rsid w:val="00DD34A7"/>
    <w:rsid w:val="00DD3BC5"/>
    <w:rsid w:val="00DD458D"/>
    <w:rsid w:val="00DE04EE"/>
    <w:rsid w:val="00DE2191"/>
    <w:rsid w:val="00DE362F"/>
    <w:rsid w:val="00DE4720"/>
    <w:rsid w:val="00DE6E8E"/>
    <w:rsid w:val="00DF14DF"/>
    <w:rsid w:val="00DF1547"/>
    <w:rsid w:val="00DF30B3"/>
    <w:rsid w:val="00DF5C8B"/>
    <w:rsid w:val="00E17681"/>
    <w:rsid w:val="00E215F0"/>
    <w:rsid w:val="00E2302A"/>
    <w:rsid w:val="00E2568A"/>
    <w:rsid w:val="00E279E3"/>
    <w:rsid w:val="00E344A4"/>
    <w:rsid w:val="00E34981"/>
    <w:rsid w:val="00E34C79"/>
    <w:rsid w:val="00E3634B"/>
    <w:rsid w:val="00E40A83"/>
    <w:rsid w:val="00E41CF3"/>
    <w:rsid w:val="00E5276F"/>
    <w:rsid w:val="00E53C87"/>
    <w:rsid w:val="00E55236"/>
    <w:rsid w:val="00E5680A"/>
    <w:rsid w:val="00E56AB3"/>
    <w:rsid w:val="00E60E78"/>
    <w:rsid w:val="00E61371"/>
    <w:rsid w:val="00E617EB"/>
    <w:rsid w:val="00E61CD2"/>
    <w:rsid w:val="00E61DAB"/>
    <w:rsid w:val="00E625BA"/>
    <w:rsid w:val="00E62B98"/>
    <w:rsid w:val="00E760FD"/>
    <w:rsid w:val="00E83B2B"/>
    <w:rsid w:val="00E9028C"/>
    <w:rsid w:val="00E9161C"/>
    <w:rsid w:val="00E92422"/>
    <w:rsid w:val="00E946E8"/>
    <w:rsid w:val="00E96EEE"/>
    <w:rsid w:val="00EA1C5F"/>
    <w:rsid w:val="00EA6442"/>
    <w:rsid w:val="00EB21D1"/>
    <w:rsid w:val="00EC24D1"/>
    <w:rsid w:val="00EC24D7"/>
    <w:rsid w:val="00EC61D1"/>
    <w:rsid w:val="00EC6BF6"/>
    <w:rsid w:val="00ED0779"/>
    <w:rsid w:val="00ED0AEF"/>
    <w:rsid w:val="00ED28E3"/>
    <w:rsid w:val="00ED5388"/>
    <w:rsid w:val="00ED60ED"/>
    <w:rsid w:val="00ED7221"/>
    <w:rsid w:val="00EE04C7"/>
    <w:rsid w:val="00EE1DE9"/>
    <w:rsid w:val="00EE258A"/>
    <w:rsid w:val="00EE288D"/>
    <w:rsid w:val="00EE2F3B"/>
    <w:rsid w:val="00EE4A89"/>
    <w:rsid w:val="00EE7813"/>
    <w:rsid w:val="00EE7A5B"/>
    <w:rsid w:val="00EF4897"/>
    <w:rsid w:val="00F00891"/>
    <w:rsid w:val="00F02C24"/>
    <w:rsid w:val="00F0516E"/>
    <w:rsid w:val="00F10329"/>
    <w:rsid w:val="00F11CEF"/>
    <w:rsid w:val="00F137C1"/>
    <w:rsid w:val="00F13A9C"/>
    <w:rsid w:val="00F1599B"/>
    <w:rsid w:val="00F2069E"/>
    <w:rsid w:val="00F24791"/>
    <w:rsid w:val="00F2636B"/>
    <w:rsid w:val="00F26AB1"/>
    <w:rsid w:val="00F3276E"/>
    <w:rsid w:val="00F43029"/>
    <w:rsid w:val="00F474AE"/>
    <w:rsid w:val="00F51B47"/>
    <w:rsid w:val="00F536F4"/>
    <w:rsid w:val="00F60AAD"/>
    <w:rsid w:val="00F63041"/>
    <w:rsid w:val="00F66FC0"/>
    <w:rsid w:val="00F75542"/>
    <w:rsid w:val="00F76871"/>
    <w:rsid w:val="00F7696A"/>
    <w:rsid w:val="00F91D27"/>
    <w:rsid w:val="00F921F4"/>
    <w:rsid w:val="00F974A5"/>
    <w:rsid w:val="00FA0CE1"/>
    <w:rsid w:val="00FA32D3"/>
    <w:rsid w:val="00FA5513"/>
    <w:rsid w:val="00FB2B17"/>
    <w:rsid w:val="00FB555B"/>
    <w:rsid w:val="00FC44AF"/>
    <w:rsid w:val="00FC63D0"/>
    <w:rsid w:val="00FC76DF"/>
    <w:rsid w:val="00FC7D55"/>
    <w:rsid w:val="00FD24A2"/>
    <w:rsid w:val="00FD403A"/>
    <w:rsid w:val="00FD6E14"/>
    <w:rsid w:val="00FD6FC3"/>
    <w:rsid w:val="00FE0730"/>
    <w:rsid w:val="00FE3F22"/>
    <w:rsid w:val="00FF2DDA"/>
    <w:rsid w:val="00FF6189"/>
    <w:rsid w:val="00FF67D3"/>
    <w:rsid w:val="00FF6BF0"/>
    <w:rsid w:val="00FF7E1D"/>
    <w:rsid w:val="016A1DFA"/>
    <w:rsid w:val="017835F2"/>
    <w:rsid w:val="019161AE"/>
    <w:rsid w:val="0444150C"/>
    <w:rsid w:val="04564757"/>
    <w:rsid w:val="0583141F"/>
    <w:rsid w:val="061063D8"/>
    <w:rsid w:val="06A150BF"/>
    <w:rsid w:val="07550E0F"/>
    <w:rsid w:val="082774D9"/>
    <w:rsid w:val="08D945B9"/>
    <w:rsid w:val="0A1C786D"/>
    <w:rsid w:val="0A3E2554"/>
    <w:rsid w:val="0B8E591C"/>
    <w:rsid w:val="0D930C62"/>
    <w:rsid w:val="0E980A25"/>
    <w:rsid w:val="106049FB"/>
    <w:rsid w:val="10846454"/>
    <w:rsid w:val="12241775"/>
    <w:rsid w:val="13503AF9"/>
    <w:rsid w:val="14B14F92"/>
    <w:rsid w:val="15DD7BBE"/>
    <w:rsid w:val="17E46AEF"/>
    <w:rsid w:val="18E45BF7"/>
    <w:rsid w:val="19C453FE"/>
    <w:rsid w:val="1A0439DD"/>
    <w:rsid w:val="1A267F4E"/>
    <w:rsid w:val="1B085F7A"/>
    <w:rsid w:val="1C032BD0"/>
    <w:rsid w:val="1C0B758A"/>
    <w:rsid w:val="1CD559C5"/>
    <w:rsid w:val="1CFE7F72"/>
    <w:rsid w:val="1D33330D"/>
    <w:rsid w:val="1D765338"/>
    <w:rsid w:val="1DA54F06"/>
    <w:rsid w:val="1DD75BFE"/>
    <w:rsid w:val="1F1F6BCF"/>
    <w:rsid w:val="1F7C4B1B"/>
    <w:rsid w:val="1FD15C23"/>
    <w:rsid w:val="20FC20E8"/>
    <w:rsid w:val="21056915"/>
    <w:rsid w:val="212D7D63"/>
    <w:rsid w:val="21433A01"/>
    <w:rsid w:val="21FB6E23"/>
    <w:rsid w:val="2340011A"/>
    <w:rsid w:val="25594E7A"/>
    <w:rsid w:val="25706615"/>
    <w:rsid w:val="25D17126"/>
    <w:rsid w:val="26C4544F"/>
    <w:rsid w:val="27EA2098"/>
    <w:rsid w:val="284D6219"/>
    <w:rsid w:val="28824912"/>
    <w:rsid w:val="29530837"/>
    <w:rsid w:val="2A357FD3"/>
    <w:rsid w:val="2A4A2FE8"/>
    <w:rsid w:val="2C716A47"/>
    <w:rsid w:val="2CB546A2"/>
    <w:rsid w:val="2CF22BF9"/>
    <w:rsid w:val="2D086045"/>
    <w:rsid w:val="2F31780D"/>
    <w:rsid w:val="2F714868"/>
    <w:rsid w:val="313D46B3"/>
    <w:rsid w:val="333F6E74"/>
    <w:rsid w:val="347A2331"/>
    <w:rsid w:val="35FD0067"/>
    <w:rsid w:val="377B031A"/>
    <w:rsid w:val="37BD677C"/>
    <w:rsid w:val="38C539AE"/>
    <w:rsid w:val="38FB1E62"/>
    <w:rsid w:val="396805E6"/>
    <w:rsid w:val="396E2F4D"/>
    <w:rsid w:val="39F85A90"/>
    <w:rsid w:val="3B1A4464"/>
    <w:rsid w:val="3C781DB1"/>
    <w:rsid w:val="3CC11B7A"/>
    <w:rsid w:val="3D1B58AC"/>
    <w:rsid w:val="3D3A2AF2"/>
    <w:rsid w:val="3D6444D4"/>
    <w:rsid w:val="3F7336F1"/>
    <w:rsid w:val="40690BC5"/>
    <w:rsid w:val="40B0791B"/>
    <w:rsid w:val="40FA606C"/>
    <w:rsid w:val="411028BD"/>
    <w:rsid w:val="430E7BEF"/>
    <w:rsid w:val="43800ACF"/>
    <w:rsid w:val="43B1189F"/>
    <w:rsid w:val="479C6E13"/>
    <w:rsid w:val="4B152213"/>
    <w:rsid w:val="4B58057D"/>
    <w:rsid w:val="4C841024"/>
    <w:rsid w:val="4E671128"/>
    <w:rsid w:val="4E9800EE"/>
    <w:rsid w:val="4EAE05F5"/>
    <w:rsid w:val="4F45059B"/>
    <w:rsid w:val="4F723D22"/>
    <w:rsid w:val="4FFA04DA"/>
    <w:rsid w:val="50497D4C"/>
    <w:rsid w:val="527F4BF6"/>
    <w:rsid w:val="535308DB"/>
    <w:rsid w:val="547616A6"/>
    <w:rsid w:val="54774E4D"/>
    <w:rsid w:val="558D2A0B"/>
    <w:rsid w:val="56992E18"/>
    <w:rsid w:val="57F76B3A"/>
    <w:rsid w:val="58953351"/>
    <w:rsid w:val="5956663E"/>
    <w:rsid w:val="59804F7E"/>
    <w:rsid w:val="5A6C1E23"/>
    <w:rsid w:val="5C5027C8"/>
    <w:rsid w:val="5DB61344"/>
    <w:rsid w:val="5EB26108"/>
    <w:rsid w:val="5F3D183B"/>
    <w:rsid w:val="5F831F82"/>
    <w:rsid w:val="5FCA7E17"/>
    <w:rsid w:val="602506D2"/>
    <w:rsid w:val="60CC0FF7"/>
    <w:rsid w:val="62712D02"/>
    <w:rsid w:val="63844ED9"/>
    <w:rsid w:val="64A63B6B"/>
    <w:rsid w:val="661369BA"/>
    <w:rsid w:val="66477E7F"/>
    <w:rsid w:val="677276A8"/>
    <w:rsid w:val="677E292F"/>
    <w:rsid w:val="6C0F6ED2"/>
    <w:rsid w:val="6CE5258C"/>
    <w:rsid w:val="6DE84292"/>
    <w:rsid w:val="6EC406C8"/>
    <w:rsid w:val="6ED0268D"/>
    <w:rsid w:val="6F2E04BB"/>
    <w:rsid w:val="6FFE45C3"/>
    <w:rsid w:val="70833D16"/>
    <w:rsid w:val="72BD529B"/>
    <w:rsid w:val="72D864F0"/>
    <w:rsid w:val="73E334AB"/>
    <w:rsid w:val="754530BF"/>
    <w:rsid w:val="766A1AC3"/>
    <w:rsid w:val="76BE24CC"/>
    <w:rsid w:val="76BE62CC"/>
    <w:rsid w:val="777225F7"/>
    <w:rsid w:val="77EF72E7"/>
    <w:rsid w:val="784F05E1"/>
    <w:rsid w:val="78B244B6"/>
    <w:rsid w:val="78C619F4"/>
    <w:rsid w:val="7927156D"/>
    <w:rsid w:val="7AED4971"/>
    <w:rsid w:val="7B21105E"/>
    <w:rsid w:val="7BA4599D"/>
    <w:rsid w:val="7C2455F7"/>
    <w:rsid w:val="7C92145B"/>
    <w:rsid w:val="7F513329"/>
    <w:rsid w:val="7F5D4352"/>
    <w:rsid w:val="7F600CE2"/>
    <w:rsid w:val="7F99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4"/>
    <w:semiHidden/>
    <w:qFormat/>
    <w:uiPriority w:val="99"/>
    <w:rPr>
      <w:b/>
    </w:rPr>
  </w:style>
  <w:style w:type="paragraph" w:styleId="3">
    <w:name w:val="annotation text"/>
    <w:basedOn w:val="1"/>
    <w:link w:val="23"/>
    <w:semiHidden/>
    <w:qFormat/>
    <w:uiPriority w:val="99"/>
    <w:pPr>
      <w:jc w:val="left"/>
    </w:pPr>
    <w:rPr>
      <w:kern w:val="0"/>
      <w:sz w:val="24"/>
      <w:szCs w:val="20"/>
    </w:rPr>
  </w:style>
  <w:style w:type="paragraph" w:styleId="4">
    <w:name w:val="Body Text"/>
    <w:basedOn w:val="1"/>
    <w:link w:val="25"/>
    <w:qFormat/>
    <w:uiPriority w:val="99"/>
    <w:pPr>
      <w:spacing w:after="120"/>
    </w:pPr>
  </w:style>
  <w:style w:type="paragraph" w:styleId="5">
    <w:name w:val="Balloon Text"/>
    <w:basedOn w:val="1"/>
    <w:link w:val="20"/>
    <w:semiHidden/>
    <w:qFormat/>
    <w:uiPriority w:val="99"/>
    <w:rPr>
      <w:kern w:val="0"/>
      <w:sz w:val="2"/>
      <w:szCs w:val="20"/>
    </w:rPr>
  </w:style>
  <w:style w:type="paragraph" w:styleId="6">
    <w:name w:val="footer"/>
    <w:basedOn w:val="1"/>
    <w:link w:val="22"/>
    <w:qFormat/>
    <w:uiPriority w:val="99"/>
    <w:pPr>
      <w:tabs>
        <w:tab w:val="center" w:pos="4153"/>
        <w:tab w:val="right" w:pos="8306"/>
      </w:tabs>
      <w:snapToGrid w:val="0"/>
      <w:jc w:val="left"/>
    </w:pPr>
    <w:rPr>
      <w:kern w:val="0"/>
      <w:sz w:val="18"/>
      <w:szCs w:val="20"/>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unhideWhenUsed/>
    <w:qFormat/>
    <w:uiPriority w:val="99"/>
    <w:rPr>
      <w:sz w:val="24"/>
    </w:rPr>
  </w:style>
  <w:style w:type="character" w:styleId="10">
    <w:name w:val="Strong"/>
    <w:basedOn w:val="9"/>
    <w:qFormat/>
    <w:locked/>
    <w:uiPriority w:val="22"/>
    <w:rPr>
      <w:b/>
      <w:bCs/>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styleId="13">
    <w:name w:val="annotation reference"/>
    <w:semiHidden/>
    <w:qFormat/>
    <w:uiPriority w:val="99"/>
    <w:rPr>
      <w:rFonts w:cs="Times New Roman"/>
      <w:sz w:val="21"/>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Char1"/>
    <w:basedOn w:val="1"/>
    <w:qFormat/>
    <w:uiPriority w:val="99"/>
    <w:pPr>
      <w:keepNext/>
      <w:keepLines/>
    </w:pPr>
    <w:rPr>
      <w:szCs w:val="20"/>
    </w:rPr>
  </w:style>
  <w:style w:type="paragraph" w:customStyle="1" w:styleId="17">
    <w:name w:val="p0"/>
    <w:basedOn w:val="1"/>
    <w:qFormat/>
    <w:uiPriority w:val="99"/>
    <w:pPr>
      <w:widowControl/>
      <w:spacing w:before="100" w:beforeAutospacing="1" w:after="100" w:afterAutospacing="1"/>
      <w:jc w:val="left"/>
    </w:pPr>
    <w:rPr>
      <w:rFonts w:ascii="宋体" w:hAnsi="宋体" w:cs="宋体"/>
      <w:kern w:val="0"/>
      <w:sz w:val="24"/>
    </w:rPr>
  </w:style>
  <w:style w:type="paragraph" w:styleId="18">
    <w:name w:val="List Paragraph"/>
    <w:basedOn w:val="1"/>
    <w:qFormat/>
    <w:uiPriority w:val="99"/>
    <w:pPr>
      <w:ind w:firstLine="420" w:firstLineChars="200"/>
    </w:pPr>
    <w:rPr>
      <w:rFonts w:ascii="Calibri" w:hAnsi="Calibri"/>
      <w:szCs w:val="22"/>
    </w:rPr>
  </w:style>
  <w:style w:type="paragraph" w:customStyle="1" w:styleId="19">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批注框文本 Char"/>
    <w:link w:val="5"/>
    <w:semiHidden/>
    <w:qFormat/>
    <w:locked/>
    <w:uiPriority w:val="99"/>
    <w:rPr>
      <w:rFonts w:ascii="Times New Roman" w:hAnsi="Times New Roman" w:eastAsia="宋体"/>
      <w:kern w:val="0"/>
      <w:sz w:val="2"/>
    </w:rPr>
  </w:style>
  <w:style w:type="character" w:customStyle="1" w:styleId="21">
    <w:name w:val="页眉 Char"/>
    <w:link w:val="7"/>
    <w:qFormat/>
    <w:locked/>
    <w:uiPriority w:val="99"/>
    <w:rPr>
      <w:rFonts w:ascii="Times New Roman" w:hAnsi="Times New Roman" w:eastAsia="宋体"/>
      <w:kern w:val="0"/>
      <w:sz w:val="18"/>
    </w:rPr>
  </w:style>
  <w:style w:type="character" w:customStyle="1" w:styleId="22">
    <w:name w:val="页脚 Char"/>
    <w:link w:val="6"/>
    <w:qFormat/>
    <w:locked/>
    <w:uiPriority w:val="99"/>
    <w:rPr>
      <w:rFonts w:ascii="Times New Roman" w:hAnsi="Times New Roman" w:eastAsia="宋体"/>
      <w:kern w:val="0"/>
      <w:sz w:val="18"/>
    </w:rPr>
  </w:style>
  <w:style w:type="character" w:customStyle="1" w:styleId="23">
    <w:name w:val="批注文字 Char"/>
    <w:link w:val="3"/>
    <w:semiHidden/>
    <w:qFormat/>
    <w:locked/>
    <w:uiPriority w:val="99"/>
    <w:rPr>
      <w:rFonts w:ascii="Times New Roman" w:hAnsi="Times New Roman"/>
      <w:sz w:val="24"/>
    </w:rPr>
  </w:style>
  <w:style w:type="character" w:customStyle="1" w:styleId="24">
    <w:name w:val="批注主题 Char"/>
    <w:link w:val="2"/>
    <w:semiHidden/>
    <w:qFormat/>
    <w:locked/>
    <w:uiPriority w:val="99"/>
    <w:rPr>
      <w:rFonts w:ascii="Times New Roman" w:hAnsi="Times New Roman"/>
      <w:b/>
      <w:sz w:val="24"/>
    </w:rPr>
  </w:style>
  <w:style w:type="character" w:customStyle="1" w:styleId="25">
    <w:name w:val="正文文本 Char"/>
    <w:basedOn w:val="9"/>
    <w:link w:val="4"/>
    <w:qFormat/>
    <w:uiPriority w:val="99"/>
    <w:rPr>
      <w:rFonts w:ascii="Times New Roman" w:hAnsi="Times New Roman"/>
      <w:kern w:val="2"/>
      <w:sz w:val="21"/>
      <w:szCs w:val="24"/>
    </w:rPr>
  </w:style>
  <w:style w:type="paragraph" w:customStyle="1" w:styleId="26">
    <w:name w:val="Default"/>
    <w:unhideWhenUsed/>
    <w:qFormat/>
    <w:uiPriority w:val="99"/>
    <w:pPr>
      <w:widowControl w:val="0"/>
      <w:autoSpaceDE w:val="0"/>
      <w:autoSpaceDN w:val="0"/>
      <w:adjustRightInd w:val="0"/>
    </w:pPr>
    <w:rPr>
      <w:rFonts w:hint="eastAsia" w:ascii="宋体..骝." w:hAnsi="宋体..骝." w:eastAsia="宋体..骝." w:cstheme="minorBidi"/>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544</Words>
  <Characters>3102</Characters>
  <Lines>25</Lines>
  <Paragraphs>7</Paragraphs>
  <TotalTime>0</TotalTime>
  <ScaleCrop>false</ScaleCrop>
  <LinksUpToDate>false</LinksUpToDate>
  <CharactersWithSpaces>3639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2023-07-28T07:15:00Z</dcterms:created>
  <dc:creator>Windows 用户</dc:creator>
  <cp:lastModifiedBy>zhangchi</cp:lastModifiedBy>
  <cp:lastPrinted>2020-04-10T01:42:00Z</cp:lastPrinted>
  <dcterms:modified xsi:type="dcterms:W3CDTF">2023-07-31T06:56:45Z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