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numPr>
          <w:numId w:val="0"/>
        </w:numPr>
        <w:spacing w:line="560" w:lineRule="exact"/>
        <w:ind w:leftChars="0"/>
        <w:jc w:val="center"/>
        <w:outlineLvl w:val="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中国（苏州）知识产权保护中心专利预审服务受理范围</w:t>
      </w:r>
    </w:p>
    <w:p>
      <w:pPr>
        <w:pStyle w:val="10"/>
        <w:numPr>
          <w:numId w:val="0"/>
        </w:numPr>
        <w:spacing w:line="560" w:lineRule="exact"/>
        <w:ind w:leftChars="0"/>
        <w:outlineLvl w:val="0"/>
        <w:rPr>
          <w:rFonts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IPC分类号（共153个）</w:t>
      </w: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新材料</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B01D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分离（用湿法从固体中分离固体入B03B、B03D，用风力跳汰机或摇床入B03B，用其他干法入B07；固体物料从固体物料或流体中的磁或静电分离，利用高压电场的分离入B03C；离心机、涡旋装置入B04B；涡旋装置入B04C；用于从含液物料中挤出液体的压力机本身入B30B 9/02）〔5〕</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B01F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混合，例如，溶解、乳化、分散（混合颜料入B44D 3/06）</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B01J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化学或物理方法，例如，催化作用或胶体化学；其有关设备〔2〕</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B08B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一般清洁；一般污垢的防除（刷子入A46；家庭或类似清洁装置入A47L；颗粒从液体或气体中分离入B01D；固体分离入B03，B07；一般对表面喷射或涂敷液体或其他流体材料入B05；用于输送机的清洗装置入B65G 45/10；对瓶子同时进行清洗、灌注和封装的入B67C 7/00；一般腐蚀或积垢的防止入C23；街道、永久性道路、海滨或陆地的清洗入E01H；专门用于游泳池或仿海滨浴场浅水池或池子的部件、零件或辅助设备清洁的入E04H 4/16；防止或清除静电荷入H05F）</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B21D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金属板或管、棒或型材的基本无切削加工或处理；冲压金属（线材的加工或处理入B21F）</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B23K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钎焊或脱焊；焊接；用钎焊或焊接方法包覆或镀敷；局部加热切割，如火焰切割；用激光束加工（用金属的挤压来制造金属包覆产品入B21C 23/22；用铸造方法制造衬套或包覆层入B22D 19/08；用浸入方式的铸造入B22D 23/04；用烧结金属粉末制造复合层入B22F 7/00；机床上的仿形加工或控制装置入B23Q；不包含在其他类目中的包覆金属或金属包覆材料入C23C；燃烧器入F23D）</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B23P</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金属的其他加工；组合加工；万能机床（仿形加工或控制装置入B23Q）</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B23Q</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机床的零件、部件或附件，如仿形装置或控制装置（在车床或镗床上使用的各类刀具入B23B 27/00）；以特殊零件或部件的结构为特征的通用机床；不针对某一特殊金属加工用途的金属加工机床的组合或联合</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B24B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用于磨削或抛光的机床、装置或工艺（用电蚀入B23H；磨料或有关喷射入B24C；电解浸蚀或电解抛光入C25F 3/00）；磨具磨损表面的修理或调节；磨削，抛光剂或研磨剂的进给</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不包含在其他类目中的用于紧固、连接、拆卸或夹持的工具或台式设备</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B25J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机械手；装有操纵装置的容器（单独采摘水果、蔬菜、啤酒花或类似作物的自动装置入A01D 46/30；外科用的针头操纵器入A61B 17/062；与滚轧机有关的机械手入B21B 39/20；与锻压机有关的机械手入B21J 13/10；夹持轮子或其部件的装置入B60B 30/00；起重机入B66C；用于核反应堆中所用的燃料或其他材料的处理设备入G21C 19/00；机械手与加有防辐射的小室或房间的组合结构入G21F 7/06）〔5〕</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B29C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塑料的成型或连接；塑性状态材料的成型，不包含在其他类目中的；已成型产品的后处理，例如修整（制作预型件入B29B 11/00；通过将原本不相连接的层结合成为各层连在一起的产品来制造层状产品入B32B 7/00至B32B 41/00）〔4〕</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B32B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层状产品，即由扁平的或非扁平的薄层，例如泡沫状的、蜂窝状的薄层构成的产品</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B65B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包装物件或物料的机械，装置或设备，或方法；启封（雪茄烟的捆扎和压紧装置入A24C1/44；适合于由物品或要包扎物件支承的包扎带的固定和拉紧装置入B25B25/00；将瓶子、罐或相似容器的封闭件入B67B1/00-B67B6/00；对瓶子同时进行清洗，灌注和封装入B67C7/00；瓶子，罐，罐头，木桶，桶或类似容器的排空入B67C9/00）</w:t>
            </w:r>
          </w:p>
        </w:tc>
      </w:tr>
      <w:tr>
        <w:tblPrEx>
          <w:tblLayout w:type="fixed"/>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B65D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用于物件或物料贮存或运输的容器，如袋、桶、瓶子、箱盒、罐头、纸板箱、板条箱、圆桶、罐、槽、料仓、运输容器；所用的附件、封口或配件；包装元件；包装件</w:t>
            </w:r>
          </w:p>
        </w:tc>
      </w:tr>
      <w:tr>
        <w:tblPrEx>
          <w:tblLayout w:type="fixed"/>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B65G</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运输或贮存装置，例如装载或倾卸用输送机、车间输送机系统或气动管道输送机（包装用的入B65B；搬运薄的或细丝状材料如纸张或细丝入B65H；起重机入B66C；便携式或可移动的举升或牵引器具，如升降机入B66D；用于装载或卸载目的的升降货物的装置，如叉车，入B66F9/00；不包括在其他类目中的瓶子、罐、罐头、木桶、桶或类似容器的排空入B67C9/00；液体分配或转移入B67D；将压缩的、液化的或固体化的气体灌入容器或从容器内排出入F17C；流体用管道系统入F17D）</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B65H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搬运薄的或细丝状材料，如薄板、条材、缆索</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B66B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升降机；自动扶梯或移动人行道（用作替代正常出口的救生装置，如支撑在大楼或者其他结构上的楼梯、用于降下人员的营救笼、袋或具有类似功能的设备入A62B 1/02；与飞机配合或装在飞机上用于装卸货物或便于乘客乘降或具有类似功能的设备入B64D 9/00；以用于提升或卷扬机构为特点的制动或停止装置入B66D 5/00）〔4〕</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C01B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非金属元素；其化合物（制备元素或二氧化碳以外无机化合物的发酵或用酶工艺入C12P3/00；用电解法或电泳法生产非金属元素或无机化合物入C25B）</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C02F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水、废水、污水或污泥的处理（通过在物质中产生化学变化使有害的化学物质无害或降低危害的方法入A62D 3/00；分离、沉淀箱或过滤设备入B01D；有关处理水、废水或污水生产装置的水运容器的特殊设备，例如用于制备淡水入B63J；为防止水的腐蚀用的添加物质入C23F；放射性废液的处理入G21F 9/04）〔3〕</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C04B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石灰；氧化镁；矿渣；水泥；其组合物，例如：砂浆、混凝土或类似的建筑材料；人造石；陶瓷（微晶玻璃陶瓷入C03C 10/00）；耐火材料（难熔金属的合金入C22C）；天然石的处理〔4〕</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C08J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加工；配料的一般工艺过程；不包括在C08B，C08C，C08F，C08G或C08H小类中的后处理（塑料的加工，如成型入B29）〔2〕</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C08K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使用无机物或非高分子有机物作为配料（涂料、油墨、清漆、染料、抛光剂、黏合剂入C09）〔2〕</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C09J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黏合剂；一般非机械方面的黏合方法；其他类目不包括的黏合方法；黏合剂材料的应用（外科黏合剂入A61L 24/00；在层状产品中用作黏合剂的基于未指明的有机高分子化合物的黏合剂入B32B；使用黏合剂或热熔黏合剂在织物或具有可变形表面的类似物料或物件上贴标签，分别入B65C 5/02，B65C 5/04；动物胶或明胶的制备入C09H ；带黏性的标签、签条或类似识别指示装置入G09F 3/10） 〔5〕</w:t>
            </w:r>
          </w:p>
        </w:tc>
      </w:tr>
      <w:tr>
        <w:tblPrEx>
          <w:tblLayout w:type="fixed"/>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C21D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改变黑色金属的物理结构；黑色或有色金属或合金热处理用的一般设备；通过脱碳、回火或其他处理使金属具有韧性（扩散法渗入处理入C23C；涉及C23大类中的至少一种工艺和本小类中的至少一种工艺的金属材料表面处理入C23F17/00；共晶材料的定向凝固或共析材料的定向分层入C30B）</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C22C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合金（合金的处理入C21D、C22F）</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C23C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对金属材料的镀覆；用金属材料对材料的镀覆；表面扩散法，化学转化或置换法的金属材料表面处理；真空蒸发法、溅射法、离子注入法或化学气相沉积法的一般镀覆（挤压法制造包覆金属的产品入B21C23/22；通过将预先存在的薄层连接到制品上的方法用金属进行镀覆处理的见各有关位置，例如B21D39/00，B23K；玻璃的金属化入C03C；砂浆、混凝土、人造石、陶瓷或天然石的金属化入C04B41/00；金属的搪瓷或向金属上镀覆玻璃体层入c23D；用电解法或电泳法处理金属表面或镀覆金属入C25D；单晶膜生长入C30B；纺织品的金属化入D06M11/83；用局部金属化法装饰纺织品入D06Q1/04）〔4〕</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D06M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对纤维、纱、线、织物、羽毛或由这些材料制成的纤维制品进行D06类内其他类目所不包括的处理（用机械方法处理织物入D06B至D06J）</w:t>
            </w:r>
          </w:p>
        </w:tc>
      </w:tr>
      <w:tr>
        <w:tblPrEx>
          <w:tblLayout w:type="fixed"/>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F21S</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非便携式照明装置或其系统；专门适用于车辆外部的车辆照明设备〔1，7〕</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F21V</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照明装置或其系统的功能特征或零部件；不包含在其他类目中的照明装置和其他物品的结构组合物〔1，7〕</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F24F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空气调节；空气增湿；通风；空气流作为屏蔽的应用（从尘、烟产生区消除尘、烟入B08B 15/00；从建筑物中排除废气的竖向管道入E04F17/02；，烟道末端入F23L17/02）</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G01B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长度、厚度或类似线性尺寸的计量；角度的计量；面积的计量；不规则的表面或轮廓的计量</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G01M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机器或结构部件的静或动平衡的测试；其他类目中不包括的结构部件或设备的测试</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G01N</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借助于测定材料的化学或物理性质来测试或分析材料（除免疫测定法以外包括酶或微生物的测量或试验入C12M，C12Q）</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G01R</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测量电变量；测量磁变量（指示谐振电路的正确调谐入H03J 3/12）</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G02B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光学元件、系统或仪器（G02F优先；专用于照明装置或系统的光学元件入F21V 1/00至F21V 13/00；测量仪器见G01类的有关小类，例如，光学测距仪入G01C；光学元件、系统或仪器的测试入G01M 11/00；眼镜入G02C；摄影、放映或观看用的装置或设备入G03B；声透镜入G10K 11/30；电子和离子“光学”入H01J；X射线“光学”入H01J，H05G 1/00；结构上与放电管相组合的光学元件入H01J 5/16，H01J 29/89，H01J 37/22；微波“光学”入H01Q；光学元件与电视接收机的组合装置入H04N 5/72；彩色电视系统中的光学系统或装置入H04N 9/00；专门适用于透明或反射区的加热装置入H05B 3/84）〔1，7〕</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G02F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数字转换器〔2，4〕</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一般的控制或调节系统；这种系统的功能单元；用于这种系统或单元的监视或测试装置（应用流体作用的一般流体压力执行器或系统入F15B；阀门本身入F16K；仅按机械特征区分的入G05G；传感元件见相应小类，例如G12B，G01、H01的小类；校正单元见相应的小类，例如H02K）</w:t>
            </w:r>
          </w:p>
        </w:tc>
      </w:tr>
      <w:tr>
        <w:tblPrEx>
          <w:tblLayout w:type="fixed"/>
          <w:tblCellMar>
            <w:top w:w="0" w:type="dxa"/>
            <w:left w:w="108" w:type="dxa"/>
            <w:bottom w:w="0" w:type="dxa"/>
            <w:right w:w="108" w:type="dxa"/>
          </w:tblCellMar>
        </w:tblPrEx>
        <w:trPr>
          <w:cantSplit/>
          <w:trHeight w:val="33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G06F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电数字数据处理（基于特定计算模型的计算机系统入G06N）</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G06K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数据识别；数据表示；记录载体；记录载体的处理（印刷本身入B41J）</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G06Q</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专门适用于行政、商业、金融、管理、监督或预测目的的数据处理系统或方法；其他类目不包含的专门适用于行政、商业、金融、管理、监督或预测目的的处理系统或方法〔8〕</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G06T</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一般的图像数据处理或产生〔6，2006.01〕</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H01B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电缆；导体；绝缘体；导电、绝缘或介电材料的选择（磁性材料的选择入H01F 1/00；波导管入H01P）</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H01F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磁体；电感；变压器；磁性材料的选择〔2〕</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H01H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电开关；继电器；选择器；紧急保护装置（接触电缆入H01B7/10；电解式自断续器入H01G9/18；紧急保护电路装置入H02H；无触点电子开关入H03K17/00）</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H01L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半导体器件；其他类目中不包括的电固体器件（使用半导体器件的测量入G01；一般电阻器入H01C；磁体、电感器、变压器入H01F；一般电容器入H01G；电解型器件入H01G 9/00；电池组、蓄电池入H01M；波导管、谐振器或波导型线路入H01P；线路连接器、汇流器入H01R；受激发射器件入H01S；机电谐振器入H03H；扬声器、送话器、留声机拾音器或类似的声机电传感器入H04R；一般电光源入H05B；印刷电路、混合电路、电设备的外壳或结构零部件、电气元件的组件的制造入H05K；在具有特殊应用的电路中半导体器件的使用见该应用的小类）〔2〕</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H01M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用于直接转变化学能为电能的方法或装置，例如电池组〔2〕（一般电化学的方法或装置入C25；用于转变光或热为电能的半导体或其他固态器件入H01L，例如H01L 31/00，H01L 35/00，H01L 37/00）〔2〕</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H01R</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导电连接；一组相互绝缘的电连接元件的结构组合；连接装置；集电器（开关，熔断器入H01H；波导型耦合装置入H01P 5/00；供电或配电切换装置入H02B；电线或电缆、光电电线或电缆或电气辅助设备的安装入H02G；与印刷电路电连接或印刷电路之间电连接用的印制装置入H05K）</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H02J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供电或配电的电路装置或系统；电能存储系统（用于测量X射线、γ射线、微粒子射线或宇宙射线设备的供电电路入G01T 1/175；专用于具有不动件的电子时钟的供电电路入G04G 19/00；用于数字计算机的入G06F 1/18；用于放电管的入H01J 37/248；电能转换用电路或设备，这种电路或设备的控制装置或调整装置入H02M；数个电机的相关控制，原动机/发电机组的控制入H02P；高频电力的控制入H03L；用以传输信息的电力线路或电力网附加用途入H04B）</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H02K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电机（电动继电器入H01H 53/00；直流或交流电力输入变换为浪涌电力输出入H02M 9/00）</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H04L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数字信息的传输，例如电报通信（电报和电话通信的公用设备入H04M）〔4〕</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H04N</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图像通信，如电视</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H05K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印刷电路；电设备的外壳或结构零部件；电气元件组件的制造（其他类目不包括的仪器零部件或其他设备的类似零部件入G12B；薄膜或厚膜电路入H01L 27/01，H01L 27/13；用于对印刷电路或印刷电路之间的电连接的非印刷方法入H01R；用于特殊类型设备的外壳或其结构零部件，见有关小类；仅包括单一工艺的加工方法，例如已列入其他类目的加热、喷射，见有关的类）</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生物制品制造</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C07C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无环或碳环化合物（高分子化合物入C08；有机化合物的电解或电泳生产入C25B 3/00，C25B 7/00）</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C07D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杂环化合物（高分子化合物入C08）〔2〕</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C07F </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含除碳、氢、卤素、氧、氮、硫、硒或碲以外的其他元素的无环，碳环或杂环化合物（含金属的卟啉入C07D 487/22；高分子化合物入C08）</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C07H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糖类；及其衍生物；核苷；核苷酸；核酸（糖醛酸或糖质酸的衍生物入C07C、C07D；糖醛酸、糖质酸入C07C 59/105，C07C 59/285；氰醇类入C07C 255/16；烯糖类入C07D；未知结构的化合物入C07G；多糖类，有关的衍生物入C08B；有关基因工程的DNA或RNA，载体，例如质粒，或它们的分离、制备或纯化入C12N 15/00；制糖工业入C13）〔2〕</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C07J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sz w:val="24"/>
                <w:szCs w:val="24"/>
              </w:rPr>
              <w:t>甾族化合物（闭联-甾族化合物入C07C）〔2〕</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C07K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肽（含有β-内酰胺的肽入C07D；在分子中除了形成本身的肽环外不含有任何其他的肽键的环状二肽，如哌嗪-2，5-二酮入C07D；环肽型麦角生物碱入C07D 519/02；单细胞蛋白质、酶入C12N；获得肽的基因工程方法入C12N 15/00）〔4〕</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C08B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sz w:val="24"/>
                <w:szCs w:val="24"/>
              </w:rPr>
              <w:t>多糖类；其衍生物（含少于6个相互以配糖连接的糖键基团的多糖入C07H；发酵或用酶方法入C12P 19/00；纤维素生产入D21）〔4〕</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C08F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仅用碳-碳不饱和键反应得到的高分子化合物（由低碳烃制造液态烃混合物，例如通过齐聚作用入C10G50/00；发酵或使用酶的方法合成目标化合物或组合物或从外消旋混合物中分离旋光异构体入C12P；含有碳-碳不饱和键的单体接枝聚合到纤维、丝线、纱线、织物或用这些材料制成的纤维制品入D06M14/00）〔2〕</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C08G</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用碳-碳不饱和键以外的反应得到的高分子化合物（发酵或使用酶的方法合成目标化合物或组合物或从外消旋混合物中分离旋光异构体入C12P）〔2〕</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C12M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酶学或微生物学装置（粪肥的发酵装置入A01C 3/02；人或动物的活体部分的保存入A01N 1/02；啤酒酿造装置入C12C；果汁酒的发酵装置入C12G；制醋装置入C12J 1/10）〔3〕</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C12N</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微生物或酶；其组合物（杀生剂、害虫驱避剂或引诱剂，或含有微生物、病毒、微生物真菌、酶、发酵物的植物生长调节剂，或从微生物或动物材料产生或提取制得的物质入A01N63/00；药品入A61K；肥料入C05F）；繁殖、保藏或维持微生物；变异或遗传工程；培养基（微生物学的试验介质入C12Q1/00）〔3〕</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C12P</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发酵或使用酶的方法合成目标化合物或组合物或从外消旋混合物中分离旋光异构体〔3〕</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C12Q</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包含酶、核酸或微生物的测定或检验方法（免疫检测入G01N33/53）；其所用的组合物或试纸；这种组合物的制备方法；在微生物学方法或酶学方法中的条件反应控制〔3〕</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G01T</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核辐射或X射线辐射的测量（材料的辐射分析，质谱测定法入G01N 23/00用以测定辐射或粒子的存在、强度、密度或能量的管入H01J 47/00）</w:t>
            </w:r>
          </w:p>
        </w:tc>
      </w:tr>
      <w:tr>
        <w:tblPrEx>
          <w:tblLayout w:type="fixed"/>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G16H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医疗保健信息学，即专门用于处置或处理医疗或健康数据的信息和通信技术〔ICT〕〔2018.01〕</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数字智能制造</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A61B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诊断；外科；鉴定</w:t>
            </w:r>
          </w:p>
        </w:tc>
      </w:tr>
      <w:tr>
        <w:tblPrEx>
          <w:tblLayout w:type="fixed"/>
          <w:tblCellMar>
            <w:top w:w="0" w:type="dxa"/>
            <w:left w:w="108" w:type="dxa"/>
            <w:bottom w:w="0" w:type="dxa"/>
            <w:right w:w="108" w:type="dxa"/>
          </w:tblCellMar>
        </w:tblPrEx>
        <w:trPr>
          <w:cantSpli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B26D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切割；用于打孔、冲孔、切割、冲裁或切断的机器的通用零件</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A47L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家庭的洗涤或清扫；一般吸尘器</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F26B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从固体材料或制品中消除液体的干燥</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B05C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一般对表面涂布液体或其他流体的装置</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B05B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喷射装置；雾化装置；喷嘴</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F16K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阀；龙头；旋塞；致动浮子；通风或充气装置</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B23B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车削；镗削</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F16L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管子；管接头或管件；管子、电缆或护管的支撑；一般的绝热方法</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B23D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刨削；插削；剪切；拉削；锯；锉削；刮削；其他类目不包括的用切除材料方式对金属加工的类似操作</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F16B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紧固或固定构件或机器零件用的器件，如钉、螺栓、簧环、夹、卡箍或楔；连接件或连接</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B62B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手动车辆，例如手推车或摇篮车；雪橇</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B07C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邮件分拣；单件物品的分选，或适于一件一件地分选的散装材料的分选，如拣选</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B22D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金属铸造；用相同工艺或设备的其他物质的铸造</w:t>
            </w:r>
          </w:p>
        </w:tc>
      </w:tr>
      <w:tr>
        <w:tblPrEx>
          <w:tblLayout w:type="fixed"/>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F16H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传动装置</w:t>
            </w:r>
          </w:p>
        </w:tc>
      </w:tr>
      <w:tr>
        <w:tblPrEx>
          <w:tblLayout w:type="fixed"/>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F16C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轴；软轴；在挠性护套中传递运动的机械装置；曲轴机构的元件；枢轴；枢轴连接；除传动装置、联轴器、离合器或制动器元件以外的转动工程元件；轴承</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B66C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起重机；用于起重机、绞盘、绞车或滑车的载荷吊挂元件或装置</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B05D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对表面涂布液体或其他流体的一般工艺</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B30B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一般压力机；不包含在其他类目中的压力机</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D03D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机织织物；织造方法；织机</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B01L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通用化学或物理实验室设备</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F28D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其他小类中不包括的热交换设备，其中热交换介质不直接接触的；一般贮热装置或设备</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一般流体工作系统；流体压力执行机构，如伺服马达；不包含在其他类目中的流体压力系统的零部件</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制冷机，制冷设备或系统；加热和制冷的联合系统；热泵系统</w:t>
            </w:r>
          </w:p>
        </w:tc>
      </w:tr>
      <w:tr>
        <w:tblPrEx>
          <w:tblLayout w:type="fixed"/>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E05F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使翼扇移到开启或关闭位置的器件；翼扇调节；其他类目未包括而与翼扇功能有关的零件</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B65C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贴标签或签条的机械、装置或方法</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B31B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纸盒、纸板箱、信封或纸袋的制作</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F16D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传送旋转运动的联轴器；离合器；制动器</w:t>
            </w:r>
          </w:p>
        </w:tc>
      </w:tr>
      <w:tr>
        <w:tblPrEx>
          <w:tblLayout w:type="fixed"/>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B22C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铸造造型</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D06F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纺织品的洗涤、干燥、熨烫、压平或打折</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D04B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针织</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A01D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收获；割草</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F24H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一般有热发生装置的流体加热器，例如水或空气的加热器</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B28B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黏土或其他陶瓷成分、熔渣或含有水泥材料的混合物，例如灰浆的成型</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B67C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不包含在其他类目中的瓶子、罐、罐头、木桶、桶或类似容器的灌注液体或半液体或排空；漏斗</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E01F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附属工程，例如，道路设备和月台、直升机降落台、标志、防雪栅等的修建</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E01C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道路、体育场或类似工程的修建或其铺面；修建和修复用的机械和附属工具</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B23H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用电极代替刀具，以电流高度集中的作用在工件上的金属加工；这种加工与其他方式的金属加工的组合</w:t>
            </w:r>
          </w:p>
        </w:tc>
      </w:tr>
      <w:tr>
        <w:tblPrEx>
          <w:tblLayout w:type="fixed"/>
          <w:tblCellMar>
            <w:top w:w="0" w:type="dxa"/>
            <w:left w:w="108" w:type="dxa"/>
            <w:bottom w:w="0" w:type="dxa"/>
            <w:right w:w="108" w:type="dxa"/>
          </w:tblCellMar>
        </w:tblPrEx>
        <w:trPr>
          <w:cantSplit/>
          <w:trHeight w:val="33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F27B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一般馏炉、窑、烘烤炉或蒸馏炉；开式烧结设备或类似设备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F04C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旋转活塞或摆动活塞的液体变容式机械；旋转活塞或摆动活塞的变容式泵</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B04B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离心机</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F01N</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一般机器或发动机的气流消音器或排气装置；内燃机的气流消音器或排气装置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B82Y</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纳米结构的特定用途或应用；纳米结构的测量或分析；纳米结构的制造或处理</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B28D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加工石头或类似石头的材料</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B63B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船舶或其他水上船只；船用设备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D04H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制造纺织品，例如用纤维或长丝原料；通过此类工艺或设备制造的织物，如毛毡、非织造布；棉絮；衬垫</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B62M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乘骑者驱动的轮式车辆或滑橇；动力驱动的滑橇或自行车；专门适用于这些交通工具的传动装置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B25F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不包括在其他类目中的组合工具或多用途工具；与执行操作无特殊关联并且不包括在其他类目中的轻便机动工具的零件或部件</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F03D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风力发动机</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C30B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单晶生长；共晶材料的定向凝固或共析材料的定向分层；材料的区熔精炼；具有一定结构的均匀多晶材料的制备；单晶或具有一定结构的均匀多晶材料；单晶或具有一定结构的均匀多晶材料之后处理；其所用的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B24D</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磨削、抛光或刃磨用的工具</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F02B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活塞式内燃机；一般燃烧发动机</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B81B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微观结构的装置或系统，例如微观机械装置</w:t>
            </w:r>
          </w:p>
        </w:tc>
      </w:tr>
    </w:tbl>
    <w:p>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电子信息产业</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G09F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显示；广告；标记；标签或铭牌；印鉴</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H02B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供电或配电用的配电盘、变电站或开关装置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H05B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电热；其他类目不包含的电照明</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G08B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信号装置或呼叫装置；指令发信装置；报警装置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H04R</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扬声器、传声器、唱机拾音器或其他声—机电传感器；助听器；扩音系统</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H02M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用于交流和交流之间、交流和直流之间、或直流和直流之间的转换以及用于与电源或类似的供电系统一起使用的设备；直流或交流输入功率至浪涌输出功率的转换；以及它们的控制或调节</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G09B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教育或演示用具；用于教学或与盲人、聋人或哑人通信的用具；模型；天象仪；地球仪；地图；图表</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G01L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测量力、应力、转矩、功、机械功率、机械效率或流体压力</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H01Q</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天线</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G07C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时间登记器或出勤登记器；登记或指示机器的运行；产生随机数；投票或彩票设备；未列入其他类目的核算装置、系统或设备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G09G</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对用静态方法显示可变信息的指示装置进行控制的装置或电路传输数据的装置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G03B</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摄影、放映或观看用的装置或设备；利用了光波以外其他波的类似技术的装置或设备；以及有关的附件</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H04M</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电话通信</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G07F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投币式设备或类似设备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G06N</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基于特定计算模型的计算机系统</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B41J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打字机；选择性印刷机构，即不用印刷的印刷机构；排版错误的修正</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A61N</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电疗；磁疗；放射疗；超声波疗</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G08C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测量值、控制信号或类似信号的传输系统</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G10L</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语音分析或合成；语音识别；语音或声音处理；语音或音频编码或解码</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G01J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红外光、可见光、紫外光的强度、速度、光谱成分，偏振、相位或脉冲特性的测量；比色法；辐射高温测定法</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F24S</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太阳能热收集器；太阳能热系统</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H01S</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利用受激发射的器件</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G03F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图纹面的照相制版工艺，例如，印刷工艺、半导体器件的加工工艺；其所用材料；其所用原版；其所用专用设备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F21K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不包含在其他类目中的光源</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H03K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脉冲技术</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G10K</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发声器械；用于防止或减小噪声或其他声波的一般方法或装置；其他类目中不包括的声学器械</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H01J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放电管或放电灯</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B60W</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不同类型或不同功能的车辆子系统的联合控制；专门适用于混合动力车辆的控制系统；不与某一特定子系统的控制相关联的道路车辆驾驶控制系统</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150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H03H</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阻抗网络，例如谐振电路；谐振器</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151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H03F</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放大器</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152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B81C</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专门适用于制造或处理微观结构的装置或系统的方法或设备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153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H04J</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多路复用通信</w:t>
            </w:r>
          </w:p>
        </w:tc>
      </w:tr>
    </w:tbl>
    <w:p>
      <w:pPr/>
    </w:p>
    <w:p>
      <w:pPr/>
    </w:p>
    <w:p>
      <w:pPr/>
    </w:p>
    <w:p>
      <w:pPr>
        <w:pStyle w:val="10"/>
        <w:numPr>
          <w:ilvl w:val="0"/>
          <w:numId w:val="2"/>
        </w:numPr>
        <w:spacing w:line="560" w:lineRule="exact"/>
        <w:ind w:firstLineChars="0"/>
        <w:outlineLvl w:val="0"/>
        <w:rPr>
          <w:rFonts w:ascii="黑体" w:hAnsi="黑体" w:eastAsia="黑体" w:cs="黑体"/>
          <w:b/>
          <w:bCs/>
          <w:kern w:val="0"/>
          <w:sz w:val="32"/>
          <w:szCs w:val="32"/>
        </w:rPr>
      </w:pPr>
      <w:r>
        <w:rPr>
          <w:rFonts w:hint="eastAsia" w:ascii="黑体" w:hAnsi="黑体" w:eastAsia="黑体" w:cs="黑体"/>
          <w:b/>
          <w:bCs/>
          <w:kern w:val="0"/>
          <w:sz w:val="32"/>
          <w:szCs w:val="32"/>
        </w:rPr>
        <w:t>洛迦诺分类号（共34个）</w:t>
      </w: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新材料</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02-02</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服装</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03-01</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大衣箱、手提箱、公文包、手提包、钥匙袋、内部容积专门设计的箱子、钱包及类似物品</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06-03</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桌子及类似家具</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07-05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熨烫、洗涤和清洗、干燥用具</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07-06</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其他桌上用品</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08-05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其他工具和器具</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09-03</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盒子、箱子、集装箱、防腐罐或盒</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09-05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袋、香袋、管和囊</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10-05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检测、安全和试验用仪器、设备和装置注</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11-02</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小装饰品。桌子、壁炉台和墙的装饰，花瓶和花盆</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12-05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装载和运输用电梯和升降机</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14-01</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声音或图像的记录或复制设备</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14-02</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数据处理设备及相关的仪器、装置</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14-03</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通讯设备和无线遥控器、无线电放大器</w:t>
            </w:r>
          </w:p>
        </w:tc>
      </w:tr>
      <w:tr>
        <w:tblPrEx>
          <w:tblLayout w:type="fixed"/>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15</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15-05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洗涤、清扫和干燥机械</w:t>
            </w:r>
          </w:p>
        </w:tc>
      </w:tr>
      <w:tr>
        <w:tblPrEx>
          <w:tblLayout w:type="fixed"/>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16</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15-09</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机床、研磨和铸造机械</w:t>
            </w:r>
          </w:p>
        </w:tc>
      </w:tr>
      <w:tr>
        <w:tblPrEx>
          <w:tblLayout w:type="fixed"/>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15-99</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15的杂项</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18</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16-01</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照相机和电影摄影机</w:t>
            </w:r>
          </w:p>
        </w:tc>
      </w:tr>
      <w:tr>
        <w:tblPrEx>
          <w:tblLayout w:type="fixed"/>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19</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20-01</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自动售货机</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20</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21-01</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游戏器具和玩具</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21</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23-03</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加热设备</w:t>
            </w:r>
          </w:p>
        </w:tc>
      </w:tr>
      <w:tr>
        <w:tblPrEx>
          <w:tblLayout w:type="fixed"/>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22</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23-04</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通风和空调设备</w:t>
            </w:r>
          </w:p>
        </w:tc>
      </w:tr>
      <w:tr>
        <w:tblPrEx>
          <w:tblLayout w:type="fixed"/>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23</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26-05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灯、落地灯、枝形吊灯、墙壁和天花板装置、灯罩、反光罩、照相和电影聚光灯</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生物制品制造</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24</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05-05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纺织纤维制品</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数字智能制造</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25</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06-01</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座椅</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26</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08-03</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切削工具和器具</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27</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08-07</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锁紧或关闭装置</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28</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12-11</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自行车和摩托车</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29</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12-12</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婴儿车、病人用轮椅、担架</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30</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24-01</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医生、医院和实验室用的仪器和设备</w:t>
            </w:r>
          </w:p>
        </w:tc>
      </w:tr>
    </w:tbl>
    <w:p>
      <w:pPr>
        <w:rPr>
          <w:b/>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电子信息产业</w:t>
      </w:r>
    </w:p>
    <w:tbl>
      <w:tblPr>
        <w:tblStyle w:val="6"/>
        <w:tblW w:w="8508" w:type="dxa"/>
        <w:tblInd w:w="0" w:type="dxa"/>
        <w:tblLayout w:type="fixed"/>
        <w:tblCellMar>
          <w:top w:w="0" w:type="dxa"/>
          <w:left w:w="108" w:type="dxa"/>
          <w:bottom w:w="0" w:type="dxa"/>
          <w:right w:w="108" w:type="dxa"/>
        </w:tblCellMar>
      </w:tblPr>
      <w:tblGrid>
        <w:gridCol w:w="1243"/>
        <w:gridCol w:w="1560"/>
        <w:gridCol w:w="5705"/>
      </w:tblGrid>
      <w:tr>
        <w:tblPrEx>
          <w:tblLayout w:type="fixed"/>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10-07</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测量仪器、检测仪器和信号仪器的外壳、盘面、指针和所有其他零部件及附件</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32</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13-02</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电力变压器、整流器、电池和蓄电池</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33</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13-03</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配电或电力控制设备</w:t>
            </w:r>
          </w:p>
        </w:tc>
      </w:tr>
      <w:tr>
        <w:tblPrEx>
          <w:tblLayout w:type="fixed"/>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34</w:t>
            </w:r>
          </w:p>
        </w:tc>
        <w:tc>
          <w:tcPr>
            <w:tcW w:w="1560" w:type="dxa"/>
            <w:tcBorders>
              <w:top w:val="nil"/>
              <w:left w:val="single" w:color="auto" w:sz="4" w:space="0"/>
              <w:bottom w:val="single" w:color="auto" w:sz="4" w:space="0"/>
              <w:right w:val="single" w:color="auto" w:sz="4" w:space="0"/>
            </w:tcBorders>
            <w:shd w:val="clear" w:color="auto" w:fill="auto"/>
            <w:vAlign w:val="bottom"/>
          </w:tcPr>
          <w:p>
            <w:pPr>
              <w:widowControl/>
              <w:spacing w:line="360" w:lineRule="auto"/>
              <w:jc w:val="center"/>
              <w:textAlignment w:val="bottom"/>
              <w:rPr>
                <w:rFonts w:ascii="仿宋" w:hAnsi="仿宋" w:eastAsia="仿宋" w:cs="等线"/>
                <w:kern w:val="0"/>
                <w:sz w:val="24"/>
                <w:szCs w:val="24"/>
              </w:rPr>
            </w:pPr>
            <w:r>
              <w:rPr>
                <w:rFonts w:hint="eastAsia" w:ascii="仿宋" w:hAnsi="仿宋" w:eastAsia="仿宋" w:cs="等线"/>
                <w:kern w:val="0"/>
                <w:sz w:val="24"/>
                <w:szCs w:val="24"/>
              </w:rPr>
              <w:t>14-04</w:t>
            </w:r>
          </w:p>
        </w:tc>
        <w:tc>
          <w:tcPr>
            <w:tcW w:w="5705" w:type="dxa"/>
            <w:tcBorders>
              <w:top w:val="nil"/>
              <w:left w:val="nil"/>
              <w:bottom w:val="single" w:color="auto" w:sz="4" w:space="0"/>
              <w:right w:val="single" w:color="auto" w:sz="4" w:space="0"/>
            </w:tcBorders>
            <w:shd w:val="clear" w:color="auto" w:fill="auto"/>
            <w:vAlign w:val="bottom"/>
          </w:tcPr>
          <w:p>
            <w:pPr>
              <w:widowControl/>
              <w:spacing w:line="360" w:lineRule="auto"/>
              <w:jc w:val="left"/>
              <w:textAlignment w:val="bottom"/>
              <w:rPr>
                <w:rFonts w:ascii="仿宋" w:hAnsi="仿宋" w:eastAsia="仿宋" w:cs="等线"/>
                <w:kern w:val="0"/>
                <w:sz w:val="24"/>
                <w:szCs w:val="24"/>
              </w:rPr>
            </w:pPr>
            <w:r>
              <w:rPr>
                <w:rFonts w:hint="eastAsia" w:ascii="仿宋" w:hAnsi="仿宋" w:eastAsia="仿宋" w:cs="等线"/>
                <w:kern w:val="0"/>
                <w:sz w:val="24"/>
                <w:szCs w:val="24"/>
              </w:rPr>
              <w:t>显示界面和图标</w:t>
            </w:r>
          </w:p>
        </w:tc>
      </w:tr>
    </w:tbl>
    <w:p>
      <w:pPr>
        <w:rPr>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5711927">
    <w:nsid w:val="401E0FB7"/>
    <w:multiLevelType w:val="multilevel"/>
    <w:tmpl w:val="401E0FB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41107461">
    <w:nsid w:val="D906E405"/>
    <w:multiLevelType w:val="singleLevel"/>
    <w:tmpl w:val="D906E405"/>
    <w:lvl w:ilvl="0" w:tentative="1">
      <w:start w:val="1"/>
      <w:numFmt w:val="bullet"/>
      <w:lvlText w:val=""/>
      <w:lvlJc w:val="left"/>
      <w:pPr>
        <w:ind w:left="420" w:hanging="420"/>
      </w:pPr>
      <w:rPr>
        <w:rFonts w:hint="default" w:ascii="Wingdings" w:hAnsi="Wingdings"/>
      </w:rPr>
    </w:lvl>
  </w:abstractNum>
  <w:num w:numId="1">
    <w:abstractNumId w:val="3641107461"/>
  </w:num>
  <w:num w:numId="2">
    <w:abstractNumId w:val="10757119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98"/>
    <w:rsid w:val="001D2E4B"/>
    <w:rsid w:val="002171F0"/>
    <w:rsid w:val="002A47B4"/>
    <w:rsid w:val="00302A5D"/>
    <w:rsid w:val="003077B2"/>
    <w:rsid w:val="004236BB"/>
    <w:rsid w:val="00441974"/>
    <w:rsid w:val="004616E3"/>
    <w:rsid w:val="00636586"/>
    <w:rsid w:val="00640D37"/>
    <w:rsid w:val="007330B5"/>
    <w:rsid w:val="00771C1C"/>
    <w:rsid w:val="00780443"/>
    <w:rsid w:val="007F1130"/>
    <w:rsid w:val="008D0298"/>
    <w:rsid w:val="00992579"/>
    <w:rsid w:val="009C425D"/>
    <w:rsid w:val="00B76F57"/>
    <w:rsid w:val="00C15190"/>
    <w:rsid w:val="00D60D47"/>
    <w:rsid w:val="00F85E0F"/>
    <w:rsid w:val="00FC52AF"/>
    <w:rsid w:val="0A8A679C"/>
    <w:rsid w:val="4C50557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widowControl/>
      <w:spacing w:before="240" w:after="60"/>
      <w:jc w:val="center"/>
      <w:outlineLvl w:val="0"/>
    </w:pPr>
    <w:rPr>
      <w:rFonts w:ascii="Calibri Light" w:hAnsi="Calibri Light" w:eastAsia="宋体" w:cs="Times New Roman"/>
      <w:b/>
      <w:bCs/>
      <w:kern w:val="0"/>
      <w:sz w:val="32"/>
      <w:szCs w:val="32"/>
      <w:lang w:eastAsia="en-U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标题 Char"/>
    <w:basedOn w:val="5"/>
    <w:link w:val="4"/>
    <w:uiPriority w:val="0"/>
    <w:rPr>
      <w:rFonts w:ascii="Calibri Light" w:hAnsi="Calibri Light" w:eastAsia="宋体" w:cs="Times New Roman"/>
      <w:b/>
      <w:bCs/>
      <w:kern w:val="0"/>
      <w:sz w:val="32"/>
      <w:szCs w:val="32"/>
      <w:lang w:eastAsia="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00C71-3F2D-40D9-9CE8-18D38163E80C}">
  <ds:schemaRefs/>
</ds:datastoreItem>
</file>

<file path=docProps/app.xml><?xml version="1.0" encoding="utf-8"?>
<Properties xmlns="http://schemas.openxmlformats.org/officeDocument/2006/extended-properties" xmlns:vt="http://schemas.openxmlformats.org/officeDocument/2006/docPropsVTypes">
  <Template>Normal</Template>
  <Pages>14</Pages>
  <Words>8582</Words>
  <Characters>10465</Characters>
  <Lines>80</Lines>
  <Paragraphs>22</Paragraphs>
  <TotalTime>0</TotalTime>
  <ScaleCrop>false</ScaleCrop>
  <LinksUpToDate>false</LinksUpToDate>
  <CharactersWithSpaces>11293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2022-03-01T06:29:00Z</dcterms:created>
  <dc:creator>180612</dc:creator>
  <cp:lastModifiedBy>happyeveryday</cp:lastModifiedBy>
  <cp:lastPrinted>2022-02-21T09:22:00Z</cp:lastPrinted>
  <dcterms:modified xsi:type="dcterms:W3CDTF">2022-03-22T02:15:29Z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