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center" w:pos="4153"/>
          <w:tab w:val="right" w:pos="8306"/>
        </w:tabs>
        <w:jc w:val="center"/>
        <w:rPr>
          <w:rFonts w:ascii="方正小标宋_GBK" w:hAnsi="Arial" w:eastAsia="方正小标宋_GBK" w:cs="Arial"/>
          <w:bCs/>
          <w:sz w:val="36"/>
          <w:szCs w:val="36"/>
        </w:rPr>
      </w:pPr>
      <w:r>
        <w:rPr>
          <w:rFonts w:hint="eastAsia" w:ascii="方正小标宋_GBK" w:hAnsi="Arial" w:eastAsia="方正小标宋_GBK" w:cs="Arial"/>
          <w:bCs/>
          <w:sz w:val="36"/>
          <w:szCs w:val="36"/>
        </w:rPr>
        <w:t>课 程 表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297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课程安排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</w:t>
            </w:r>
            <w:r>
              <w:rPr>
                <w:rFonts w:ascii="仿宋" w:hAnsi="仿宋" w:eastAsia="仿宋" w:cs="仿宋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ascii="仿宋" w:hAnsi="仿宋" w:eastAsia="仿宋" w:cs="仿宋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45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新一代地方专利检索与分析系统介绍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1、新一代地方专利检索与分析系统的背景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2、检索系统的功能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2、系统中的分析功能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45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ascii="仿宋" w:hAnsi="仿宋" w:eastAsia="仿宋" w:cs="仿宋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非专利文献检索及数据资源介绍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1、非专利文献的作用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2、非专利文献的资源来源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3、非专利文献检索的方法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3:30-15:30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专利无效、侵权程序中的检索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1.专利无效、侵权解读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2.专利侵权、无效检索的应用场景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3.检索要素梳理和检索式构建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4.专利无效、侵权检索实操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5:30-17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专利导航指南系列国家标准介绍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1、专利导航的特点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2、专利导航标准的内容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3、专利导航的方法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30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</w:t>
            </w:r>
            <w:r>
              <w:rPr>
                <w:rFonts w:ascii="仿宋" w:hAnsi="仿宋" w:eastAsia="仿宋" w:cs="仿宋"/>
                <w:sz w:val="24"/>
              </w:rPr>
              <w:t>00-10:30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专利预审业务流程及要求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1、专利预审业务现状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2、专利预审的特点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3、专利预审的要求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0:30-12:30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江苏省预审规范标准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1、预审规范的背景和制定过程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2、预审规范的主要内容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3、预审规范的解读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3:30-15:30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企业知识产权管理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1、企业知识产权管理的作用和意义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2、企业知识产权管理的方式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2、企业知识产权管理的内容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5:30-17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企业专利挖掘中的检索实务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1、专利挖掘管理体系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2、发明点挖掘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3、技术主题挖掘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282C789-A1CE-4E6F-9CEB-CBA13799DC4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7FC5CD-F65D-4646-8E7A-85213956F16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EA25955-A51D-4110-945F-BD79D53FA0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9AD9180-FA93-46F8-83B2-5304DA8EC1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3204A"/>
    <w:rsid w:val="6823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2021-11-18T08:19:00Z</dcterms:created>
  <dc:creator>13812681612</dc:creator>
  <cp:lastModifiedBy>13812681612</cp:lastModifiedBy>
  <dcterms:modified xsi:type="dcterms:W3CDTF">2021-11-18T08:20:25Z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7152E87D69054203B303ACA10E50B582</vt:lpwstr>
  </property>
</Properties>
</file>