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1047E">
      <w:pPr>
        <w:pStyle w:val="17"/>
      </w:pPr>
      <w:bookmarkStart w:id="0" w:name="_GoBack"/>
      <w:bookmarkEnd w:id="0"/>
    </w:p>
    <w:p w14:paraId="35E594C2">
      <w:pPr>
        <w:pStyle w:val="17"/>
      </w:pPr>
    </w:p>
    <w:p w14:paraId="650C7431">
      <w:pPr>
        <w:pStyle w:val="17"/>
      </w:pPr>
    </w:p>
    <w:p w14:paraId="744C6ECE">
      <w:pPr>
        <w:pStyle w:val="17"/>
      </w:pPr>
    </w:p>
    <w:p w14:paraId="49F3B688">
      <w:pPr>
        <w:pStyle w:val="20"/>
        <w:keepNext w:val="0"/>
        <w:keepLines w:val="0"/>
        <w:pageBreakBefore w:val="0"/>
        <w:widowControl w:val="0"/>
        <w:kinsoku/>
        <w:wordWrap/>
        <w:overflowPunct/>
        <w:topLinePunct w:val="0"/>
        <w:autoSpaceDE w:val="0"/>
        <w:autoSpaceDN w:val="0"/>
        <w:bidi w:val="0"/>
        <w:adjustRightInd/>
        <w:snapToGrid w:val="0"/>
        <w:spacing w:line="640" w:lineRule="exact"/>
        <w:textAlignment w:val="auto"/>
        <w:rPr>
          <w:rFonts w:hint="eastAsia"/>
        </w:rPr>
      </w:pPr>
      <w:r>
        <w:rPr>
          <w:rFonts w:hint="eastAsia"/>
        </w:rPr>
        <w:t>江苏省发展改革委关于举办江苏未来产业</w:t>
      </w:r>
    </w:p>
    <w:p w14:paraId="67E607CA">
      <w:pPr>
        <w:pStyle w:val="20"/>
        <w:keepNext w:val="0"/>
        <w:keepLines w:val="0"/>
        <w:pageBreakBefore w:val="0"/>
        <w:widowControl w:val="0"/>
        <w:kinsoku/>
        <w:wordWrap/>
        <w:overflowPunct/>
        <w:topLinePunct w:val="0"/>
        <w:autoSpaceDE w:val="0"/>
        <w:autoSpaceDN w:val="0"/>
        <w:bidi w:val="0"/>
        <w:adjustRightInd/>
        <w:snapToGrid w:val="0"/>
        <w:spacing w:line="640" w:lineRule="exact"/>
        <w:textAlignment w:val="auto"/>
      </w:pPr>
      <w:r>
        <w:rPr>
          <w:rFonts w:hint="eastAsia"/>
        </w:rPr>
        <w:t>创新创业大赛的通知</w:t>
      </w:r>
    </w:p>
    <w:p w14:paraId="5783C6D8">
      <w:pPr>
        <w:pStyle w:val="17"/>
        <w:ind w:firstLine="0" w:firstLineChars="0"/>
      </w:pPr>
    </w:p>
    <w:p w14:paraId="422BF0B1">
      <w:pPr>
        <w:pStyle w:val="17"/>
        <w:keepNext w:val="0"/>
        <w:keepLines w:val="0"/>
        <w:pageBreakBefore w:val="0"/>
        <w:widowControl w:val="0"/>
        <w:kinsoku/>
        <w:wordWrap/>
        <w:overflowPunct/>
        <w:topLinePunct w:val="0"/>
        <w:autoSpaceDE w:val="0"/>
        <w:autoSpaceDN w:val="0"/>
        <w:bidi w:val="0"/>
        <w:snapToGrid w:val="0"/>
        <w:spacing w:line="580" w:lineRule="exact"/>
        <w:ind w:firstLine="0" w:firstLineChars="0"/>
        <w:textAlignment w:val="auto"/>
      </w:pPr>
      <w:r>
        <w:rPr>
          <w:rFonts w:hint="eastAsia"/>
        </w:rPr>
        <w:t>各设区市发展改革委、未来产业基金发起人，各有关单位：</w:t>
      </w:r>
    </w:p>
    <w:p w14:paraId="102EEDB3">
      <w:pPr>
        <w:pStyle w:val="17"/>
        <w:keepNext w:val="0"/>
        <w:keepLines w:val="0"/>
        <w:pageBreakBefore w:val="0"/>
        <w:widowControl w:val="0"/>
        <w:kinsoku/>
        <w:wordWrap/>
        <w:overflowPunct/>
        <w:topLinePunct w:val="0"/>
        <w:autoSpaceDE w:val="0"/>
        <w:autoSpaceDN w:val="0"/>
        <w:bidi w:val="0"/>
        <w:snapToGrid w:val="0"/>
        <w:spacing w:line="580" w:lineRule="exact"/>
        <w:textAlignment w:val="auto"/>
      </w:pPr>
      <w:r>
        <w:t>根据《江苏省加快培育发展未来产业的指导意见》（苏政发〔2023〕104号）、《江苏省加快培育发展未来产业三年行动方案（2024-2026年）》（苏发改高技发〔2024〕229号）</w:t>
      </w:r>
      <w:r>
        <w:rPr>
          <w:rFonts w:hint="eastAsia"/>
        </w:rPr>
        <w:t>精神</w:t>
      </w:r>
      <w:r>
        <w:t>，</w:t>
      </w:r>
      <w:r>
        <w:rPr>
          <w:rFonts w:hint="eastAsia"/>
        </w:rPr>
        <w:t>我委将举办“江苏未来产业创新创业大赛”（以下简称“大赛”），有关事项通知如下：</w:t>
      </w:r>
    </w:p>
    <w:p w14:paraId="147C7AEC">
      <w:pPr>
        <w:pStyle w:val="23"/>
        <w:keepNext w:val="0"/>
        <w:keepLines w:val="0"/>
        <w:pageBreakBefore w:val="0"/>
        <w:widowControl w:val="0"/>
        <w:kinsoku/>
        <w:wordWrap/>
        <w:overflowPunct/>
        <w:topLinePunct w:val="0"/>
        <w:autoSpaceDE w:val="0"/>
        <w:autoSpaceDN w:val="0"/>
        <w:bidi w:val="0"/>
        <w:snapToGrid w:val="0"/>
        <w:spacing w:line="580" w:lineRule="exact"/>
        <w:textAlignment w:val="auto"/>
      </w:pPr>
      <w:r>
        <w:rPr>
          <w:rFonts w:hint="eastAsia"/>
        </w:rPr>
        <w:t>一、大赛目的</w:t>
      </w:r>
    </w:p>
    <w:p w14:paraId="41251ECC">
      <w:pPr>
        <w:pStyle w:val="17"/>
        <w:keepNext w:val="0"/>
        <w:keepLines w:val="0"/>
        <w:pageBreakBefore w:val="0"/>
        <w:widowControl w:val="0"/>
        <w:kinsoku/>
        <w:wordWrap/>
        <w:overflowPunct/>
        <w:topLinePunct w:val="0"/>
        <w:autoSpaceDE w:val="0"/>
        <w:autoSpaceDN w:val="0"/>
        <w:bidi w:val="0"/>
        <w:snapToGrid w:val="0"/>
        <w:spacing w:line="580" w:lineRule="exact"/>
        <w:textAlignment w:val="auto"/>
      </w:pPr>
      <w:r>
        <w:t>为全面贯彻党的二十大精神和习近平总书记对江苏工作重要讲话</w:t>
      </w:r>
      <w:r>
        <w:rPr>
          <w:rFonts w:hint="eastAsia"/>
        </w:rPr>
        <w:t>重要指示</w:t>
      </w:r>
      <w:r>
        <w:t>精神，围绕</w:t>
      </w:r>
      <w:r>
        <w:rPr>
          <w:rFonts w:hint="eastAsia"/>
        </w:rPr>
        <w:t>构建</w:t>
      </w:r>
      <w:r>
        <w:t>自主可控、系统完整、先进安全的</w:t>
      </w:r>
      <w:r>
        <w:rPr>
          <w:rFonts w:hint="eastAsia" w:ascii="方正仿宋_GBK"/>
        </w:rPr>
        <w:t>“</w:t>
      </w:r>
      <w:r>
        <w:t>10+X</w:t>
      </w:r>
      <w:r>
        <w:rPr>
          <w:rFonts w:hint="eastAsia" w:ascii="方正仿宋_GBK"/>
        </w:rPr>
        <w:t>”</w:t>
      </w:r>
      <w:r>
        <w:t>未来产业体系，着力打造具有全球影响力的产业科技创新中心，加快形成新质生产力，</w:t>
      </w:r>
      <w:r>
        <w:rPr>
          <w:rFonts w:hint="eastAsia"/>
        </w:rPr>
        <w:t>通过举办本次</w:t>
      </w:r>
      <w:r>
        <w:t>大赛，</w:t>
      </w:r>
      <w:r>
        <w:rPr>
          <w:rFonts w:hint="eastAsia"/>
        </w:rPr>
        <w:t>积极搭建交流展示平台，发现和挖掘</w:t>
      </w:r>
      <w:r>
        <w:t>一批技术含量高、市场前景好、带动作用强的未来产业项目，</w:t>
      </w:r>
      <w:r>
        <w:rPr>
          <w:rFonts w:hint="eastAsia"/>
        </w:rPr>
        <w:t>不断</w:t>
      </w:r>
      <w:r>
        <w:t>培育壮大未来产业领域的创新创业主体，</w:t>
      </w:r>
      <w:r>
        <w:rPr>
          <w:rFonts w:hint="eastAsia"/>
        </w:rPr>
        <w:t>不断塑造未来产业发展新动能新优势，</w:t>
      </w:r>
      <w:r>
        <w:t>助力我省加速打造具有核心竞争力的未来产业集群。</w:t>
      </w:r>
    </w:p>
    <w:p w14:paraId="5F795F55">
      <w:pPr>
        <w:pStyle w:val="23"/>
        <w:keepNext w:val="0"/>
        <w:keepLines w:val="0"/>
        <w:pageBreakBefore w:val="0"/>
        <w:widowControl w:val="0"/>
        <w:kinsoku/>
        <w:wordWrap/>
        <w:overflowPunct/>
        <w:topLinePunct w:val="0"/>
        <w:autoSpaceDE w:val="0"/>
        <w:autoSpaceDN w:val="0"/>
        <w:bidi w:val="0"/>
        <w:snapToGrid w:val="0"/>
        <w:spacing w:line="580" w:lineRule="exact"/>
        <w:textAlignment w:val="auto"/>
      </w:pPr>
      <w:r>
        <w:rPr>
          <w:rFonts w:hint="eastAsia"/>
        </w:rPr>
        <w:t>二、大赛主题</w:t>
      </w:r>
    </w:p>
    <w:p w14:paraId="7D02844F">
      <w:pPr>
        <w:pStyle w:val="17"/>
        <w:keepNext w:val="0"/>
        <w:keepLines w:val="0"/>
        <w:pageBreakBefore w:val="0"/>
        <w:widowControl w:val="0"/>
        <w:kinsoku/>
        <w:wordWrap/>
        <w:overflowPunct/>
        <w:topLinePunct w:val="0"/>
        <w:autoSpaceDE w:val="0"/>
        <w:autoSpaceDN w:val="0"/>
        <w:bidi w:val="0"/>
        <w:snapToGrid w:val="0"/>
        <w:spacing w:line="580" w:lineRule="exact"/>
        <w:textAlignment w:val="auto"/>
      </w:pPr>
      <w:r>
        <w:rPr>
          <w:rFonts w:hint="eastAsia"/>
        </w:rPr>
        <w:t>创新赋能  领航未来</w:t>
      </w:r>
    </w:p>
    <w:p w14:paraId="46A9E8FF">
      <w:pPr>
        <w:pStyle w:val="23"/>
        <w:keepNext w:val="0"/>
        <w:keepLines w:val="0"/>
        <w:pageBreakBefore w:val="0"/>
        <w:widowControl w:val="0"/>
        <w:kinsoku/>
        <w:wordWrap/>
        <w:overflowPunct/>
        <w:topLinePunct w:val="0"/>
        <w:autoSpaceDE w:val="0"/>
        <w:autoSpaceDN w:val="0"/>
        <w:bidi w:val="0"/>
        <w:snapToGrid w:val="0"/>
        <w:spacing w:line="580" w:lineRule="exact"/>
        <w:textAlignment w:val="auto"/>
      </w:pPr>
      <w:r>
        <w:rPr>
          <w:rFonts w:hint="eastAsia"/>
        </w:rPr>
        <w:t>三、组织机构</w:t>
      </w:r>
    </w:p>
    <w:p w14:paraId="49DFB1DA">
      <w:pPr>
        <w:pStyle w:val="17"/>
        <w:keepNext w:val="0"/>
        <w:keepLines w:val="0"/>
        <w:pageBreakBefore w:val="0"/>
        <w:widowControl w:val="0"/>
        <w:kinsoku/>
        <w:wordWrap/>
        <w:overflowPunct/>
        <w:topLinePunct w:val="0"/>
        <w:autoSpaceDE w:val="0"/>
        <w:autoSpaceDN w:val="0"/>
        <w:bidi w:val="0"/>
        <w:snapToGrid w:val="0"/>
        <w:spacing w:line="580" w:lineRule="exact"/>
        <w:textAlignment w:val="auto"/>
      </w:pPr>
      <w:r>
        <w:rPr>
          <w:rFonts w:hint="eastAsia"/>
          <w:lang w:eastAsia="zh-CN"/>
        </w:rPr>
        <w:t>指导</w:t>
      </w:r>
      <w:r>
        <w:rPr>
          <w:rFonts w:hint="eastAsia"/>
        </w:rPr>
        <w:t>单位：江苏省发展和改革委员会</w:t>
      </w:r>
    </w:p>
    <w:p w14:paraId="6E8694F7">
      <w:pPr>
        <w:pStyle w:val="17"/>
        <w:keepNext w:val="0"/>
        <w:keepLines w:val="0"/>
        <w:pageBreakBefore w:val="0"/>
        <w:widowControl w:val="0"/>
        <w:kinsoku/>
        <w:wordWrap/>
        <w:overflowPunct/>
        <w:topLinePunct w:val="0"/>
        <w:autoSpaceDE w:val="0"/>
        <w:autoSpaceDN w:val="0"/>
        <w:bidi w:val="0"/>
        <w:snapToGrid w:val="0"/>
        <w:spacing w:line="580" w:lineRule="exact"/>
        <w:textAlignment w:val="auto"/>
      </w:pPr>
      <w:r>
        <w:rPr>
          <w:rFonts w:hint="eastAsia"/>
          <w:lang w:eastAsia="zh-CN"/>
        </w:rPr>
        <w:t>主办</w:t>
      </w:r>
      <w:r>
        <w:rPr>
          <w:rFonts w:hint="eastAsia"/>
        </w:rPr>
        <w:t>单位：江苏高科技投资集团</w:t>
      </w:r>
    </w:p>
    <w:p w14:paraId="2452760D">
      <w:pPr>
        <w:pStyle w:val="17"/>
        <w:keepNext w:val="0"/>
        <w:keepLines w:val="0"/>
        <w:pageBreakBefore w:val="0"/>
        <w:widowControl w:val="0"/>
        <w:kinsoku/>
        <w:wordWrap/>
        <w:overflowPunct/>
        <w:topLinePunct w:val="0"/>
        <w:autoSpaceDE w:val="0"/>
        <w:autoSpaceDN w:val="0"/>
        <w:bidi w:val="0"/>
        <w:snapToGrid w:val="0"/>
        <w:spacing w:line="580" w:lineRule="exact"/>
        <w:textAlignment w:val="auto"/>
      </w:pPr>
      <w:r>
        <w:rPr>
          <w:rFonts w:hint="eastAsia"/>
        </w:rPr>
        <w:t>大赛设立组委会，负责大赛组织实施。组委会下设办公室（设在江苏高科技投资集团），负责大赛各项工作的具体执行。</w:t>
      </w:r>
    </w:p>
    <w:p w14:paraId="2F7347AE">
      <w:pPr>
        <w:pStyle w:val="23"/>
        <w:keepNext w:val="0"/>
        <w:keepLines w:val="0"/>
        <w:pageBreakBefore w:val="0"/>
        <w:widowControl w:val="0"/>
        <w:kinsoku/>
        <w:wordWrap/>
        <w:overflowPunct/>
        <w:topLinePunct w:val="0"/>
        <w:autoSpaceDE w:val="0"/>
        <w:autoSpaceDN w:val="0"/>
        <w:bidi w:val="0"/>
        <w:snapToGrid w:val="0"/>
        <w:spacing w:line="580" w:lineRule="exact"/>
        <w:textAlignment w:val="auto"/>
      </w:pPr>
      <w:r>
        <w:rPr>
          <w:rFonts w:hint="eastAsia"/>
        </w:rPr>
        <w:t>四、参赛条件</w:t>
      </w:r>
    </w:p>
    <w:p w14:paraId="600F31C5">
      <w:pPr>
        <w:pStyle w:val="17"/>
        <w:keepNext w:val="0"/>
        <w:keepLines w:val="0"/>
        <w:pageBreakBefore w:val="0"/>
        <w:widowControl w:val="0"/>
        <w:kinsoku/>
        <w:wordWrap/>
        <w:overflowPunct/>
        <w:topLinePunct w:val="0"/>
        <w:autoSpaceDE w:val="0"/>
        <w:autoSpaceDN w:val="0"/>
        <w:bidi w:val="0"/>
        <w:snapToGrid w:val="0"/>
        <w:spacing w:line="580" w:lineRule="exact"/>
        <w:textAlignment w:val="auto"/>
      </w:pPr>
      <w:r>
        <w:t>大赛设初创企业组和成长企业组</w:t>
      </w:r>
      <w:r>
        <w:rPr>
          <w:rFonts w:hint="eastAsia"/>
        </w:rPr>
        <w:t>两个类别，分别进行比赛。</w:t>
      </w:r>
    </w:p>
    <w:p w14:paraId="056042BB">
      <w:pPr>
        <w:pStyle w:val="17"/>
        <w:keepNext w:val="0"/>
        <w:keepLines w:val="0"/>
        <w:pageBreakBefore w:val="0"/>
        <w:widowControl w:val="0"/>
        <w:kinsoku/>
        <w:wordWrap/>
        <w:overflowPunct/>
        <w:topLinePunct w:val="0"/>
        <w:autoSpaceDE w:val="0"/>
        <w:autoSpaceDN w:val="0"/>
        <w:bidi w:val="0"/>
        <w:snapToGrid w:val="0"/>
        <w:spacing w:line="580" w:lineRule="exact"/>
        <w:textAlignment w:val="auto"/>
      </w:pPr>
      <w:r>
        <w:t>1</w:t>
      </w:r>
      <w:r>
        <w:rPr>
          <w:rFonts w:hint="eastAsia"/>
        </w:rPr>
        <w:t>．基本条件：参赛企业为</w:t>
      </w:r>
      <w:r>
        <w:t>江苏省内注册</w:t>
      </w:r>
      <w:r>
        <w:rPr>
          <w:rFonts w:hint="eastAsia"/>
        </w:rPr>
        <w:t>的非上市</w:t>
      </w:r>
      <w:r>
        <w:t>企业，经营规范、社会信誉良好、无不良记录。</w:t>
      </w:r>
      <w:r>
        <w:rPr>
          <w:rFonts w:hint="eastAsia"/>
        </w:rPr>
        <w:t>企业</w:t>
      </w:r>
      <w:r>
        <w:t>所处行业领域需符合第三代半导体、未来网络、氢能、新型储能、细胞和基因技术、合成生物、通用智能、前沿新材料、零碳负碳（碳捕集利用及封存）、虚拟现实10个成长型，以及量子科技、深海深地空天、类人机器人、低空经济、先进核能等前沿性未来产业体系范畴，具有创新能力和较高成长潜力，</w:t>
      </w:r>
      <w:r>
        <w:rPr>
          <w:rFonts w:hint="eastAsia"/>
        </w:rPr>
        <w:t>参赛项目</w:t>
      </w:r>
      <w:r>
        <w:t>拥有</w:t>
      </w:r>
      <w:r>
        <w:rPr>
          <w:rFonts w:hint="eastAsia"/>
        </w:rPr>
        <w:t>自主</w:t>
      </w:r>
      <w:r>
        <w:t>知识产权且无产权纠纷。</w:t>
      </w:r>
    </w:p>
    <w:p w14:paraId="0479B8AE">
      <w:pPr>
        <w:pStyle w:val="17"/>
        <w:keepNext w:val="0"/>
        <w:keepLines w:val="0"/>
        <w:pageBreakBefore w:val="0"/>
        <w:widowControl w:val="0"/>
        <w:kinsoku/>
        <w:wordWrap/>
        <w:overflowPunct/>
        <w:topLinePunct w:val="0"/>
        <w:autoSpaceDE w:val="0"/>
        <w:autoSpaceDN w:val="0"/>
        <w:bidi w:val="0"/>
        <w:snapToGrid w:val="0"/>
        <w:spacing w:line="580" w:lineRule="exact"/>
        <w:textAlignment w:val="auto"/>
      </w:pPr>
      <w:r>
        <w:rPr>
          <w:rFonts w:hint="eastAsia"/>
        </w:rPr>
        <w:t>2．注册时间：参赛企业工商登记注册时间在2021年7月</w:t>
      </w:r>
      <w:r>
        <w:rPr>
          <w:rFonts w:hint="eastAsia"/>
          <w:lang w:val="en-US" w:eastAsia="zh-CN"/>
        </w:rPr>
        <w:t>26</w:t>
      </w:r>
      <w:r>
        <w:rPr>
          <w:rFonts w:hint="eastAsia"/>
        </w:rPr>
        <w:t>日（含）之后的，参加</w:t>
      </w:r>
      <w:r>
        <w:t>初创企业组</w:t>
      </w:r>
      <w:r>
        <w:rPr>
          <w:rFonts w:hint="eastAsia"/>
        </w:rPr>
        <w:t>比赛；参赛企业工商登记注册时间在2021年7月</w:t>
      </w:r>
      <w:r>
        <w:rPr>
          <w:rFonts w:hint="eastAsia"/>
          <w:lang w:val="en-US" w:eastAsia="zh-CN"/>
        </w:rPr>
        <w:t>26</w:t>
      </w:r>
      <w:r>
        <w:rPr>
          <w:rFonts w:hint="eastAsia"/>
        </w:rPr>
        <w:t>日之前的，参加</w:t>
      </w:r>
      <w:r>
        <w:t>成长企业组</w:t>
      </w:r>
      <w:r>
        <w:rPr>
          <w:rFonts w:hint="eastAsia"/>
        </w:rPr>
        <w:t>比赛。</w:t>
      </w:r>
    </w:p>
    <w:p w14:paraId="08CDEE41">
      <w:pPr>
        <w:pStyle w:val="17"/>
        <w:keepNext w:val="0"/>
        <w:keepLines w:val="0"/>
        <w:pageBreakBefore w:val="0"/>
        <w:widowControl w:val="0"/>
        <w:kinsoku/>
        <w:wordWrap/>
        <w:overflowPunct/>
        <w:topLinePunct w:val="0"/>
        <w:autoSpaceDE w:val="0"/>
        <w:autoSpaceDN w:val="0"/>
        <w:bidi w:val="0"/>
        <w:snapToGrid w:val="0"/>
        <w:spacing w:line="580" w:lineRule="exact"/>
        <w:textAlignment w:val="auto"/>
      </w:pPr>
      <w:r>
        <w:t>3</w:t>
      </w:r>
      <w:r>
        <w:rPr>
          <w:rFonts w:hint="eastAsia"/>
        </w:rPr>
        <w:t>．</w:t>
      </w:r>
      <w:r>
        <w:t>诚信要求：参赛</w:t>
      </w:r>
      <w:r>
        <w:rPr>
          <w:rFonts w:hint="eastAsia"/>
        </w:rPr>
        <w:t>企业</w:t>
      </w:r>
      <w:r>
        <w:t>应承诺无虚报项目、虚构事实、侵犯知识产权等行为并签订承诺书。</w:t>
      </w:r>
      <w:r>
        <w:rPr>
          <w:rFonts w:hint="eastAsia"/>
        </w:rPr>
        <w:t>参赛企业</w:t>
      </w:r>
      <w:r>
        <w:t>如在申报</w:t>
      </w:r>
      <w:r>
        <w:rPr>
          <w:rFonts w:hint="eastAsia"/>
        </w:rPr>
        <w:t>项目</w:t>
      </w:r>
      <w:r>
        <w:t>、比赛过程中出现弄虚作假行为，一经发现，不论处在大赛何种阶段或赛后，立即取消比赛资格、撤销所有奖项及奖励、记入信用档案，并追究有关单位和人员相关法律责任。</w:t>
      </w:r>
    </w:p>
    <w:p w14:paraId="7070FEBD">
      <w:pPr>
        <w:pStyle w:val="23"/>
        <w:keepNext w:val="0"/>
        <w:keepLines w:val="0"/>
        <w:pageBreakBefore w:val="0"/>
        <w:widowControl w:val="0"/>
        <w:kinsoku/>
        <w:wordWrap/>
        <w:overflowPunct/>
        <w:topLinePunct w:val="0"/>
        <w:autoSpaceDE w:val="0"/>
        <w:autoSpaceDN w:val="0"/>
        <w:bidi w:val="0"/>
        <w:snapToGrid w:val="0"/>
        <w:spacing w:line="580" w:lineRule="exact"/>
        <w:textAlignment w:val="auto"/>
      </w:pPr>
      <w:r>
        <w:t>五、赛事安排</w:t>
      </w:r>
    </w:p>
    <w:p w14:paraId="134E72ED">
      <w:pPr>
        <w:pStyle w:val="25"/>
        <w:keepNext w:val="0"/>
        <w:keepLines w:val="0"/>
        <w:pageBreakBefore w:val="0"/>
        <w:widowControl w:val="0"/>
        <w:kinsoku/>
        <w:wordWrap/>
        <w:overflowPunct/>
        <w:topLinePunct w:val="0"/>
        <w:autoSpaceDE w:val="0"/>
        <w:autoSpaceDN w:val="0"/>
        <w:bidi w:val="0"/>
        <w:snapToGrid w:val="0"/>
        <w:spacing w:line="580" w:lineRule="exact"/>
        <w:ind w:firstLine="640"/>
        <w:textAlignment w:val="auto"/>
      </w:pPr>
      <w:r>
        <w:rPr>
          <w:rFonts w:hint="eastAsia"/>
        </w:rPr>
        <w:t>（一）报名</w:t>
      </w:r>
    </w:p>
    <w:p w14:paraId="09A2679D">
      <w:pPr>
        <w:pStyle w:val="17"/>
        <w:keepNext w:val="0"/>
        <w:keepLines w:val="0"/>
        <w:pageBreakBefore w:val="0"/>
        <w:widowControl w:val="0"/>
        <w:kinsoku/>
        <w:wordWrap/>
        <w:overflowPunct/>
        <w:topLinePunct w:val="0"/>
        <w:autoSpaceDE w:val="0"/>
        <w:autoSpaceDN w:val="0"/>
        <w:bidi w:val="0"/>
        <w:snapToGrid w:val="0"/>
        <w:spacing w:line="580" w:lineRule="exact"/>
        <w:textAlignment w:val="auto"/>
      </w:pPr>
      <w:r>
        <w:rPr>
          <w:rFonts w:hint="eastAsia"/>
        </w:rPr>
        <w:t>1．</w:t>
      </w:r>
      <w:r>
        <w:t>各设区市</w:t>
      </w:r>
      <w:r>
        <w:rPr>
          <w:rFonts w:hint="eastAsia"/>
        </w:rPr>
        <w:t>发展改革委牵头组织</w:t>
      </w:r>
      <w:r>
        <w:t>，</w:t>
      </w:r>
      <w:r>
        <w:rPr>
          <w:rFonts w:hint="eastAsia"/>
        </w:rPr>
        <w:t>相关未来产业基金发起人配合，征集本市符合参赛条件的企业及项目报名参赛。</w:t>
      </w:r>
    </w:p>
    <w:p w14:paraId="77B06184">
      <w:pPr>
        <w:pStyle w:val="17"/>
        <w:keepNext w:val="0"/>
        <w:keepLines w:val="0"/>
        <w:pageBreakBefore w:val="0"/>
        <w:widowControl w:val="0"/>
        <w:kinsoku/>
        <w:wordWrap/>
        <w:overflowPunct/>
        <w:topLinePunct w:val="0"/>
        <w:autoSpaceDE w:val="0"/>
        <w:autoSpaceDN w:val="0"/>
        <w:bidi w:val="0"/>
        <w:snapToGrid w:val="0"/>
        <w:spacing w:line="580" w:lineRule="exact"/>
        <w:textAlignment w:val="auto"/>
      </w:pPr>
      <w:r>
        <w:rPr>
          <w:rFonts w:hint="eastAsia"/>
        </w:rPr>
        <w:t>2．大赛组委会办公室</w:t>
      </w:r>
      <w:r>
        <w:t>对报名</w:t>
      </w:r>
      <w:r>
        <w:rPr>
          <w:rFonts w:hint="eastAsia"/>
        </w:rPr>
        <w:t>的企业及</w:t>
      </w:r>
      <w:r>
        <w:t>项目进行资格</w:t>
      </w:r>
      <w:r>
        <w:rPr>
          <w:rFonts w:hint="eastAsia"/>
        </w:rPr>
        <w:t>初</w:t>
      </w:r>
      <w:r>
        <w:t>审，符合大赛参赛</w:t>
      </w:r>
      <w:r>
        <w:rPr>
          <w:rFonts w:hint="eastAsia"/>
        </w:rPr>
        <w:t>条件</w:t>
      </w:r>
      <w:r>
        <w:t>的项目可进入初评。</w:t>
      </w:r>
    </w:p>
    <w:p w14:paraId="7039DF4C">
      <w:pPr>
        <w:pStyle w:val="17"/>
        <w:keepNext w:val="0"/>
        <w:keepLines w:val="0"/>
        <w:pageBreakBefore w:val="0"/>
        <w:widowControl w:val="0"/>
        <w:kinsoku/>
        <w:wordWrap/>
        <w:overflowPunct/>
        <w:topLinePunct w:val="0"/>
        <w:autoSpaceDE w:val="0"/>
        <w:autoSpaceDN w:val="0"/>
        <w:bidi w:val="0"/>
        <w:snapToGrid w:val="0"/>
        <w:spacing w:line="580" w:lineRule="exact"/>
        <w:textAlignment w:val="auto"/>
      </w:pPr>
      <w:r>
        <w:rPr>
          <w:rFonts w:hint="eastAsia"/>
        </w:rPr>
        <w:t>3．</w:t>
      </w:r>
      <w:r>
        <w:t>参赛报名截止日期为2024年7月</w:t>
      </w:r>
      <w:r>
        <w:rPr>
          <w:rFonts w:hint="eastAsia"/>
          <w:lang w:val="en-US" w:eastAsia="zh-CN"/>
        </w:rPr>
        <w:t>26</w:t>
      </w:r>
      <w:r>
        <w:t>日。</w:t>
      </w:r>
    </w:p>
    <w:p w14:paraId="69F6A1DB">
      <w:pPr>
        <w:pStyle w:val="25"/>
        <w:keepNext w:val="0"/>
        <w:keepLines w:val="0"/>
        <w:pageBreakBefore w:val="0"/>
        <w:widowControl w:val="0"/>
        <w:kinsoku/>
        <w:wordWrap/>
        <w:overflowPunct/>
        <w:topLinePunct w:val="0"/>
        <w:autoSpaceDE w:val="0"/>
        <w:autoSpaceDN w:val="0"/>
        <w:bidi w:val="0"/>
        <w:snapToGrid w:val="0"/>
        <w:spacing w:line="580" w:lineRule="exact"/>
        <w:ind w:firstLine="640"/>
        <w:textAlignment w:val="auto"/>
      </w:pPr>
      <w:r>
        <w:rPr>
          <w:rFonts w:hint="eastAsia"/>
        </w:rPr>
        <w:t>（二）初评（2024年</w:t>
      </w:r>
      <w:r>
        <w:rPr>
          <w:rFonts w:hint="eastAsia" w:eastAsia="方正仿宋_GBK"/>
        </w:rPr>
        <w:t>8</w:t>
      </w:r>
      <w:r>
        <w:rPr>
          <w:rFonts w:hint="eastAsia"/>
        </w:rPr>
        <w:t>月初进行</w:t>
      </w:r>
      <w:r>
        <w:rPr>
          <w:rFonts w:hint="eastAsia" w:eastAsia="方正仿宋_GBK"/>
        </w:rPr>
        <w:t>）</w:t>
      </w:r>
    </w:p>
    <w:p w14:paraId="1B6C8671">
      <w:pPr>
        <w:pStyle w:val="17"/>
        <w:keepNext w:val="0"/>
        <w:keepLines w:val="0"/>
        <w:pageBreakBefore w:val="0"/>
        <w:widowControl w:val="0"/>
        <w:kinsoku/>
        <w:wordWrap/>
        <w:overflowPunct/>
        <w:topLinePunct w:val="0"/>
        <w:autoSpaceDE w:val="0"/>
        <w:autoSpaceDN w:val="0"/>
        <w:bidi w:val="0"/>
        <w:snapToGrid w:val="0"/>
        <w:spacing w:line="580" w:lineRule="exact"/>
        <w:textAlignment w:val="auto"/>
      </w:pPr>
      <w:r>
        <w:rPr>
          <w:rFonts w:hint="eastAsia"/>
        </w:rPr>
        <w:t>1．大赛组委会办公室</w:t>
      </w:r>
      <w:r>
        <w:t>组织专业力量，根据项目所处行业领域，视报名项目数量分若干组对项目进行初评及打分排序。</w:t>
      </w:r>
    </w:p>
    <w:p w14:paraId="5C089710">
      <w:pPr>
        <w:pStyle w:val="17"/>
        <w:keepNext w:val="0"/>
        <w:keepLines w:val="0"/>
        <w:pageBreakBefore w:val="0"/>
        <w:widowControl w:val="0"/>
        <w:kinsoku/>
        <w:wordWrap/>
        <w:overflowPunct/>
        <w:topLinePunct w:val="0"/>
        <w:autoSpaceDE w:val="0"/>
        <w:autoSpaceDN w:val="0"/>
        <w:bidi w:val="0"/>
        <w:snapToGrid w:val="0"/>
        <w:spacing w:line="580" w:lineRule="exact"/>
        <w:textAlignment w:val="auto"/>
      </w:pPr>
      <w:r>
        <w:rPr>
          <w:rFonts w:hint="eastAsia"/>
        </w:rPr>
        <w:t>2．</w:t>
      </w:r>
      <w:r>
        <w:t>初评采取集中书面评审方式进行，每组邀请三位专家（其中两位</w:t>
      </w:r>
      <w:r>
        <w:rPr>
          <w:rFonts w:hint="eastAsia"/>
        </w:rPr>
        <w:t>技术</w:t>
      </w:r>
      <w:r>
        <w:t>专家、一位</w:t>
      </w:r>
      <w:r>
        <w:rPr>
          <w:rFonts w:hint="eastAsia"/>
        </w:rPr>
        <w:t>创投</w:t>
      </w:r>
      <w:r>
        <w:t>专家），根据项目报名提供的书面材料进行打分。每组中初创</w:t>
      </w:r>
      <w:r>
        <w:rPr>
          <w:rFonts w:hint="eastAsia"/>
        </w:rPr>
        <w:t>企业</w:t>
      </w:r>
      <w:r>
        <w:t>组与成长</w:t>
      </w:r>
      <w:r>
        <w:rPr>
          <w:rFonts w:hint="eastAsia"/>
        </w:rPr>
        <w:t>企业</w:t>
      </w:r>
      <w:r>
        <w:t>组排名前12%（含12%，四舍五入）的项目直接入围决赛，排名12%（不含12%）至20%的项目待定，经三位综合型</w:t>
      </w:r>
      <w:r>
        <w:rPr>
          <w:rFonts w:hint="eastAsia"/>
        </w:rPr>
        <w:t>技术或</w:t>
      </w:r>
      <w:r>
        <w:t>创投专家综合遴选、比较后择优（按照50%比例）进入决赛。项目初评阶段全程录像备查。</w:t>
      </w:r>
    </w:p>
    <w:p w14:paraId="39D10A93">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ascii="Times New Roman"/>
          <w:szCs w:val="32"/>
        </w:rPr>
      </w:pPr>
      <w:r>
        <w:rPr>
          <w:rFonts w:hint="eastAsia" w:ascii="Times New Roman"/>
          <w:szCs w:val="32"/>
        </w:rPr>
        <w:t>3．晋级</w:t>
      </w:r>
      <w:r>
        <w:rPr>
          <w:rFonts w:ascii="Times New Roman"/>
          <w:szCs w:val="32"/>
        </w:rPr>
        <w:t>公示</w:t>
      </w:r>
      <w:r>
        <w:rPr>
          <w:rFonts w:hint="eastAsia" w:ascii="Times New Roman"/>
          <w:szCs w:val="32"/>
        </w:rPr>
        <w:t>。大赛组委会对</w:t>
      </w:r>
      <w:r>
        <w:rPr>
          <w:rFonts w:ascii="Times New Roman"/>
          <w:szCs w:val="32"/>
        </w:rPr>
        <w:t>初评</w:t>
      </w:r>
      <w:r>
        <w:rPr>
          <w:rFonts w:hint="eastAsia" w:ascii="Times New Roman"/>
          <w:szCs w:val="32"/>
        </w:rPr>
        <w:t>所评选出的入围</w:t>
      </w:r>
      <w:r>
        <w:rPr>
          <w:rFonts w:ascii="Times New Roman"/>
          <w:szCs w:val="32"/>
        </w:rPr>
        <w:t>决赛项目</w:t>
      </w:r>
      <w:r>
        <w:rPr>
          <w:rFonts w:hint="eastAsia" w:ascii="Times New Roman"/>
          <w:szCs w:val="32"/>
        </w:rPr>
        <w:t>进行公示</w:t>
      </w:r>
      <w:r>
        <w:rPr>
          <w:rFonts w:ascii="Times New Roman"/>
          <w:szCs w:val="32"/>
        </w:rPr>
        <w:t>，</w:t>
      </w:r>
      <w:r>
        <w:rPr>
          <w:rFonts w:hint="eastAsia" w:ascii="Times New Roman"/>
          <w:szCs w:val="32"/>
        </w:rPr>
        <w:t>经公示无异议后，确认晋级决赛项目名单</w:t>
      </w:r>
      <w:r>
        <w:rPr>
          <w:rFonts w:ascii="Times New Roman"/>
          <w:szCs w:val="32"/>
        </w:rPr>
        <w:t>。</w:t>
      </w:r>
    </w:p>
    <w:p w14:paraId="3BC2DF1B">
      <w:pPr>
        <w:pStyle w:val="25"/>
        <w:keepNext w:val="0"/>
        <w:keepLines w:val="0"/>
        <w:pageBreakBefore w:val="0"/>
        <w:widowControl w:val="0"/>
        <w:kinsoku/>
        <w:wordWrap/>
        <w:overflowPunct/>
        <w:topLinePunct w:val="0"/>
        <w:autoSpaceDE w:val="0"/>
        <w:autoSpaceDN w:val="0"/>
        <w:bidi w:val="0"/>
        <w:snapToGrid w:val="0"/>
        <w:spacing w:line="580" w:lineRule="exact"/>
        <w:ind w:firstLine="640"/>
        <w:textAlignment w:val="auto"/>
      </w:pPr>
      <w:r>
        <w:rPr>
          <w:rFonts w:hint="eastAsia"/>
        </w:rPr>
        <w:t>（三）</w:t>
      </w:r>
      <w:r>
        <w:t>决赛</w:t>
      </w:r>
      <w:r>
        <w:rPr>
          <w:rFonts w:hint="eastAsia"/>
        </w:rPr>
        <w:t>（2024年8月中旬进行）</w:t>
      </w:r>
    </w:p>
    <w:p w14:paraId="3431ABB9">
      <w:pPr>
        <w:keepNext w:val="0"/>
        <w:keepLines w:val="0"/>
        <w:pageBreakBefore w:val="0"/>
        <w:widowControl w:val="0"/>
        <w:kinsoku/>
        <w:wordWrap/>
        <w:overflowPunct/>
        <w:topLinePunct w:val="0"/>
        <w:autoSpaceDE w:val="0"/>
        <w:autoSpaceDN w:val="0"/>
        <w:bidi w:val="0"/>
        <w:snapToGrid w:val="0"/>
        <w:spacing w:line="580" w:lineRule="exact"/>
        <w:ind w:firstLine="640" w:firstLineChars="200"/>
        <w:textAlignment w:val="auto"/>
        <w:rPr>
          <w:rFonts w:ascii="Times New Roman"/>
          <w:szCs w:val="32"/>
        </w:rPr>
      </w:pPr>
      <w:r>
        <w:rPr>
          <w:rFonts w:ascii="Times New Roman"/>
          <w:szCs w:val="32"/>
        </w:rPr>
        <w:t>1</w:t>
      </w:r>
      <w:r>
        <w:rPr>
          <w:rFonts w:hint="eastAsia" w:ascii="Times New Roman"/>
          <w:szCs w:val="32"/>
        </w:rPr>
        <w:t>．</w:t>
      </w:r>
      <w:r>
        <w:rPr>
          <w:rFonts w:ascii="Times New Roman"/>
          <w:szCs w:val="32"/>
        </w:rPr>
        <w:t>决赛形式</w:t>
      </w:r>
      <w:r>
        <w:rPr>
          <w:rFonts w:hint="eastAsia" w:ascii="Times New Roman"/>
          <w:szCs w:val="32"/>
        </w:rPr>
        <w:t>。</w:t>
      </w:r>
      <w:r>
        <w:rPr>
          <w:rFonts w:ascii="Times New Roman"/>
          <w:szCs w:val="32"/>
        </w:rPr>
        <w:t>决赛拟采取现场路演形式进行。晋级决赛的项目通过7分钟现场路演展示、5分钟点评专家提问后，进行现场打分，得分及排名情况现场公布。</w:t>
      </w:r>
    </w:p>
    <w:p w14:paraId="26ED5429">
      <w:pPr>
        <w:keepNext w:val="0"/>
        <w:keepLines w:val="0"/>
        <w:pageBreakBefore w:val="0"/>
        <w:widowControl w:val="0"/>
        <w:kinsoku/>
        <w:wordWrap/>
        <w:overflowPunct/>
        <w:topLinePunct w:val="0"/>
        <w:autoSpaceDE w:val="0"/>
        <w:autoSpaceDN w:val="0"/>
        <w:bidi w:val="0"/>
        <w:snapToGrid w:val="0"/>
        <w:spacing w:line="580" w:lineRule="exact"/>
        <w:ind w:firstLine="640" w:firstLineChars="200"/>
        <w:textAlignment w:val="auto"/>
        <w:rPr>
          <w:rFonts w:ascii="Times New Roman"/>
          <w:szCs w:val="32"/>
        </w:rPr>
      </w:pPr>
      <w:r>
        <w:rPr>
          <w:rFonts w:ascii="Times New Roman"/>
          <w:szCs w:val="32"/>
        </w:rPr>
        <w:t>2</w:t>
      </w:r>
      <w:r>
        <w:rPr>
          <w:rFonts w:hint="eastAsia" w:ascii="Times New Roman"/>
          <w:szCs w:val="32"/>
        </w:rPr>
        <w:t>．</w:t>
      </w:r>
      <w:r>
        <w:rPr>
          <w:rFonts w:ascii="Times New Roman"/>
          <w:szCs w:val="32"/>
        </w:rPr>
        <w:t>专家构成</w:t>
      </w:r>
      <w:r>
        <w:rPr>
          <w:rFonts w:hint="eastAsia" w:ascii="Times New Roman"/>
          <w:szCs w:val="32"/>
        </w:rPr>
        <w:t>。决赛评审</w:t>
      </w:r>
      <w:r>
        <w:rPr>
          <w:rFonts w:ascii="Times New Roman"/>
          <w:szCs w:val="32"/>
        </w:rPr>
        <w:t>专家组由7位资深专家组成，以</w:t>
      </w:r>
      <w:r>
        <w:rPr>
          <w:rFonts w:hint="eastAsia" w:ascii="Times New Roman"/>
          <w:szCs w:val="32"/>
        </w:rPr>
        <w:t>综合型技术专家及</w:t>
      </w:r>
      <w:r>
        <w:rPr>
          <w:rFonts w:ascii="Times New Roman"/>
          <w:szCs w:val="32"/>
        </w:rPr>
        <w:t>创投专家为主。</w:t>
      </w:r>
    </w:p>
    <w:p w14:paraId="3468F8D4">
      <w:pPr>
        <w:keepNext w:val="0"/>
        <w:keepLines w:val="0"/>
        <w:pageBreakBefore w:val="0"/>
        <w:widowControl w:val="0"/>
        <w:kinsoku/>
        <w:wordWrap/>
        <w:overflowPunct/>
        <w:topLinePunct w:val="0"/>
        <w:autoSpaceDE w:val="0"/>
        <w:autoSpaceDN w:val="0"/>
        <w:bidi w:val="0"/>
        <w:snapToGrid w:val="0"/>
        <w:spacing w:line="580" w:lineRule="exact"/>
        <w:ind w:firstLine="640" w:firstLineChars="200"/>
        <w:textAlignment w:val="auto"/>
        <w:rPr>
          <w:rFonts w:ascii="Times New Roman"/>
          <w:szCs w:val="32"/>
        </w:rPr>
      </w:pPr>
      <w:r>
        <w:rPr>
          <w:rFonts w:ascii="Times New Roman"/>
          <w:szCs w:val="32"/>
        </w:rPr>
        <w:t>3</w:t>
      </w:r>
      <w:r>
        <w:rPr>
          <w:rFonts w:hint="eastAsia" w:ascii="Times New Roman"/>
          <w:szCs w:val="32"/>
        </w:rPr>
        <w:t>．</w:t>
      </w:r>
      <w:r>
        <w:rPr>
          <w:rFonts w:ascii="Times New Roman"/>
          <w:szCs w:val="32"/>
        </w:rPr>
        <w:t>评分规则</w:t>
      </w:r>
      <w:r>
        <w:rPr>
          <w:rFonts w:hint="eastAsia" w:ascii="Times New Roman"/>
          <w:szCs w:val="32"/>
        </w:rPr>
        <w:t>。评审专家</w:t>
      </w:r>
      <w:r>
        <w:rPr>
          <w:rFonts w:ascii="Times New Roman"/>
          <w:szCs w:val="32"/>
        </w:rPr>
        <w:t>遵循</w:t>
      </w:r>
      <w:r>
        <w:rPr>
          <w:rFonts w:hint="eastAsia"/>
          <w:szCs w:val="32"/>
        </w:rPr>
        <w:t>“公开、公平、公正”和“竞争择优”</w:t>
      </w:r>
      <w:r>
        <w:rPr>
          <w:rFonts w:ascii="Times New Roman"/>
          <w:szCs w:val="32"/>
        </w:rPr>
        <w:t>原则，围绕技术和产品、商业模式及实施方案、行业及市场、财务分析、团队等方面对参赛项目进行</w:t>
      </w:r>
      <w:r>
        <w:rPr>
          <w:rFonts w:hint="eastAsia" w:ascii="Times New Roman"/>
          <w:szCs w:val="32"/>
        </w:rPr>
        <w:t>评分</w:t>
      </w:r>
      <w:r>
        <w:rPr>
          <w:rFonts w:ascii="Times New Roman"/>
          <w:szCs w:val="32"/>
        </w:rPr>
        <w:t>。每个项目的现场得分标准为7位专家评委</w:t>
      </w:r>
      <w:r>
        <w:rPr>
          <w:rFonts w:hint="eastAsia" w:ascii="Times New Roman"/>
          <w:szCs w:val="32"/>
        </w:rPr>
        <w:t>评</w:t>
      </w:r>
      <w:r>
        <w:rPr>
          <w:rFonts w:ascii="Times New Roman"/>
          <w:szCs w:val="32"/>
        </w:rPr>
        <w:t>分去掉1个最高分和1个最低分之后的平均得分。</w:t>
      </w:r>
    </w:p>
    <w:p w14:paraId="7AC62DA0">
      <w:pPr>
        <w:pStyle w:val="17"/>
        <w:keepNext w:val="0"/>
        <w:keepLines w:val="0"/>
        <w:pageBreakBefore w:val="0"/>
        <w:widowControl w:val="0"/>
        <w:kinsoku/>
        <w:wordWrap/>
        <w:overflowPunct/>
        <w:topLinePunct w:val="0"/>
        <w:autoSpaceDE w:val="0"/>
        <w:autoSpaceDN w:val="0"/>
        <w:bidi w:val="0"/>
        <w:snapToGrid w:val="0"/>
        <w:spacing w:line="580" w:lineRule="exact"/>
        <w:textAlignment w:val="auto"/>
      </w:pPr>
      <w:r>
        <w:t>4</w:t>
      </w:r>
      <w:r>
        <w:rPr>
          <w:rFonts w:hint="eastAsia"/>
        </w:rPr>
        <w:t>．</w:t>
      </w:r>
      <w:r>
        <w:t>评分安排</w:t>
      </w:r>
      <w:r>
        <w:rPr>
          <w:rFonts w:hint="eastAsia"/>
        </w:rPr>
        <w:t>。</w:t>
      </w:r>
      <w:r>
        <w:t>每个项目路演结束后，评审专家通过现场打分器打分，同时需填写纸质打分表并签名。每位评委出分和现场总得分通过大屏幕实时公布（前5个项目统一打分，在第6个项目结束后公布前5个项目的得分，其余项目得分逐个在下一项目路演结束后公布）。</w:t>
      </w:r>
      <w:r>
        <w:rPr>
          <w:rFonts w:hint="eastAsia"/>
        </w:rPr>
        <w:t>决赛阶段</w:t>
      </w:r>
      <w:r>
        <w:t>评审过程全程录像</w:t>
      </w:r>
      <w:r>
        <w:rPr>
          <w:rFonts w:hint="eastAsia"/>
        </w:rPr>
        <w:t>备查</w:t>
      </w:r>
      <w:r>
        <w:t>。</w:t>
      </w:r>
    </w:p>
    <w:p w14:paraId="6403F80B">
      <w:pPr>
        <w:keepNext w:val="0"/>
        <w:keepLines w:val="0"/>
        <w:pageBreakBefore w:val="0"/>
        <w:widowControl w:val="0"/>
        <w:kinsoku/>
        <w:wordWrap/>
        <w:overflowPunct/>
        <w:topLinePunct w:val="0"/>
        <w:autoSpaceDE w:val="0"/>
        <w:autoSpaceDN w:val="0"/>
        <w:bidi w:val="0"/>
        <w:snapToGrid w:val="0"/>
        <w:spacing w:line="580" w:lineRule="exact"/>
        <w:ind w:firstLine="640" w:firstLineChars="200"/>
        <w:textAlignment w:val="auto"/>
        <w:rPr>
          <w:rFonts w:ascii="Times New Roman"/>
          <w:szCs w:val="32"/>
        </w:rPr>
      </w:pPr>
      <w:r>
        <w:rPr>
          <w:rFonts w:hint="eastAsia" w:ascii="Times New Roman"/>
          <w:szCs w:val="32"/>
        </w:rPr>
        <w:t>5．</w:t>
      </w:r>
      <w:r>
        <w:rPr>
          <w:rFonts w:ascii="Times New Roman"/>
          <w:szCs w:val="32"/>
        </w:rPr>
        <w:t>奖项设置</w:t>
      </w:r>
      <w:r>
        <w:rPr>
          <w:rFonts w:hint="eastAsia" w:ascii="Times New Roman"/>
          <w:szCs w:val="32"/>
        </w:rPr>
        <w:t>。</w:t>
      </w:r>
      <w:r>
        <w:rPr>
          <w:rFonts w:ascii="Times New Roman"/>
          <w:szCs w:val="32"/>
        </w:rPr>
        <w:t>大赛按照入围决赛项目数量设置一</w:t>
      </w:r>
      <w:r>
        <w:rPr>
          <w:rFonts w:hint="eastAsia" w:ascii="Times New Roman"/>
          <w:szCs w:val="32"/>
        </w:rPr>
        <w:t>、</w:t>
      </w:r>
      <w:r>
        <w:rPr>
          <w:rFonts w:ascii="Times New Roman"/>
          <w:szCs w:val="32"/>
        </w:rPr>
        <w:t>二</w:t>
      </w:r>
      <w:r>
        <w:rPr>
          <w:rFonts w:hint="eastAsia" w:ascii="Times New Roman"/>
          <w:szCs w:val="32"/>
        </w:rPr>
        <w:t>、</w:t>
      </w:r>
      <w:r>
        <w:rPr>
          <w:rFonts w:ascii="Times New Roman"/>
          <w:szCs w:val="32"/>
        </w:rPr>
        <w:t>三等奖</w:t>
      </w:r>
      <w:r>
        <w:rPr>
          <w:rFonts w:hint="eastAsia" w:ascii="Times New Roman"/>
          <w:szCs w:val="32"/>
        </w:rPr>
        <w:t>及</w:t>
      </w:r>
      <w:r>
        <w:rPr>
          <w:rFonts w:ascii="Times New Roman"/>
          <w:szCs w:val="32"/>
        </w:rPr>
        <w:t>优秀奖</w:t>
      </w:r>
      <w:r>
        <w:rPr>
          <w:rFonts w:hint="eastAsia" w:ascii="Times New Roman"/>
          <w:szCs w:val="32"/>
        </w:rPr>
        <w:t>，总获奖项目数不超过30个。其中：</w:t>
      </w:r>
      <w:r>
        <w:rPr>
          <w:rFonts w:ascii="Times New Roman"/>
          <w:szCs w:val="32"/>
        </w:rPr>
        <w:t>一等奖比例为</w:t>
      </w:r>
      <w:r>
        <w:rPr>
          <w:rFonts w:hint="eastAsia" w:ascii="Times New Roman"/>
          <w:szCs w:val="32"/>
        </w:rPr>
        <w:t>5%，二</w:t>
      </w:r>
      <w:r>
        <w:rPr>
          <w:rFonts w:ascii="Times New Roman"/>
          <w:szCs w:val="32"/>
        </w:rPr>
        <w:t>等奖比例为</w:t>
      </w:r>
      <w:r>
        <w:rPr>
          <w:rFonts w:hint="eastAsia" w:ascii="Times New Roman"/>
          <w:szCs w:val="32"/>
        </w:rPr>
        <w:t>10%，三</w:t>
      </w:r>
      <w:r>
        <w:rPr>
          <w:rFonts w:ascii="Times New Roman"/>
          <w:szCs w:val="32"/>
        </w:rPr>
        <w:t>等奖比例为</w:t>
      </w:r>
      <w:r>
        <w:rPr>
          <w:rFonts w:hint="eastAsia" w:ascii="Times New Roman"/>
          <w:szCs w:val="32"/>
        </w:rPr>
        <w:t>20%，</w:t>
      </w:r>
      <w:r>
        <w:rPr>
          <w:rFonts w:ascii="Times New Roman"/>
          <w:szCs w:val="32"/>
        </w:rPr>
        <w:t>优秀奖比例</w:t>
      </w:r>
      <w:r>
        <w:rPr>
          <w:rFonts w:hint="eastAsia" w:ascii="Times New Roman"/>
          <w:szCs w:val="32"/>
        </w:rPr>
        <w:t>为25</w:t>
      </w:r>
      <w:r>
        <w:rPr>
          <w:rFonts w:ascii="Times New Roman"/>
          <w:szCs w:val="32"/>
        </w:rPr>
        <w:t>%。</w:t>
      </w:r>
    </w:p>
    <w:p w14:paraId="11D4B6EA">
      <w:pPr>
        <w:pStyle w:val="23"/>
        <w:keepNext w:val="0"/>
        <w:keepLines w:val="0"/>
        <w:pageBreakBefore w:val="0"/>
        <w:widowControl w:val="0"/>
        <w:kinsoku/>
        <w:wordWrap/>
        <w:overflowPunct/>
        <w:topLinePunct w:val="0"/>
        <w:autoSpaceDE w:val="0"/>
        <w:autoSpaceDN w:val="0"/>
        <w:bidi w:val="0"/>
        <w:snapToGrid w:val="0"/>
        <w:spacing w:line="580" w:lineRule="exact"/>
        <w:textAlignment w:val="auto"/>
      </w:pPr>
      <w:r>
        <w:rPr>
          <w:rFonts w:hint="eastAsia"/>
        </w:rPr>
        <w:t>六、宣传激励</w:t>
      </w:r>
    </w:p>
    <w:p w14:paraId="545BE16F">
      <w:pPr>
        <w:pStyle w:val="17"/>
        <w:keepNext w:val="0"/>
        <w:keepLines w:val="0"/>
        <w:pageBreakBefore w:val="0"/>
        <w:widowControl w:val="0"/>
        <w:kinsoku/>
        <w:wordWrap/>
        <w:overflowPunct/>
        <w:topLinePunct w:val="0"/>
        <w:autoSpaceDE w:val="0"/>
        <w:autoSpaceDN w:val="0"/>
        <w:bidi w:val="0"/>
        <w:snapToGrid w:val="0"/>
        <w:spacing w:line="580" w:lineRule="exact"/>
        <w:textAlignment w:val="auto"/>
      </w:pPr>
      <w:r>
        <w:rPr>
          <w:rFonts w:hint="eastAsia"/>
        </w:rPr>
        <w:t>1．组织新闻媒体对大赛过程进行全方位整体报道，对大赛获奖参赛项目在未来产业发展大会上设置颁奖环节进行展示宣传。</w:t>
      </w:r>
    </w:p>
    <w:p w14:paraId="79E43DE2">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ascii="Times New Roman"/>
          <w:szCs w:val="32"/>
        </w:rPr>
      </w:pPr>
      <w:r>
        <w:rPr>
          <w:rFonts w:hint="eastAsia" w:ascii="Times New Roman"/>
          <w:szCs w:val="32"/>
        </w:rPr>
        <w:t>2．大赛</w:t>
      </w:r>
      <w:r>
        <w:rPr>
          <w:rFonts w:ascii="Times New Roman"/>
          <w:szCs w:val="32"/>
        </w:rPr>
        <w:t>获奖项目</w:t>
      </w:r>
      <w:r>
        <w:rPr>
          <w:rFonts w:hint="eastAsia" w:ascii="Times New Roman"/>
          <w:szCs w:val="32"/>
        </w:rPr>
        <w:t>将</w:t>
      </w:r>
      <w:r>
        <w:rPr>
          <w:rFonts w:ascii="Times New Roman"/>
          <w:szCs w:val="32"/>
        </w:rPr>
        <w:t>优先推荐享受相关未来产业培育政策支持</w:t>
      </w:r>
      <w:r>
        <w:rPr>
          <w:rFonts w:hint="eastAsia" w:ascii="Times New Roman"/>
          <w:szCs w:val="32"/>
        </w:rPr>
        <w:t>，获奖项目成员符合申报条件的，优先推荐申报下年度省“双创计划”。</w:t>
      </w:r>
    </w:p>
    <w:p w14:paraId="5729F830">
      <w:pPr>
        <w:pStyle w:val="17"/>
        <w:keepNext w:val="0"/>
        <w:keepLines w:val="0"/>
        <w:pageBreakBefore w:val="0"/>
        <w:widowControl w:val="0"/>
        <w:kinsoku/>
        <w:wordWrap/>
        <w:overflowPunct/>
        <w:topLinePunct w:val="0"/>
        <w:autoSpaceDE w:val="0"/>
        <w:autoSpaceDN w:val="0"/>
        <w:bidi w:val="0"/>
        <w:snapToGrid w:val="0"/>
        <w:spacing w:line="580" w:lineRule="exact"/>
        <w:textAlignment w:val="auto"/>
      </w:pPr>
      <w:r>
        <w:rPr>
          <w:rFonts w:hint="eastAsia"/>
        </w:rPr>
        <w:t>3．大赛获奖</w:t>
      </w:r>
      <w:r>
        <w:t>企业将优先推荐给省战新产业相关未来产业天使基金</w:t>
      </w:r>
      <w:r>
        <w:rPr>
          <w:rFonts w:hint="eastAsia"/>
        </w:rPr>
        <w:t>，优先获得</w:t>
      </w:r>
      <w:r>
        <w:t>省投资基金业协会、省创投协会、省人才创投联盟</w:t>
      </w:r>
      <w:r>
        <w:rPr>
          <w:rFonts w:hint="eastAsia"/>
          <w:color w:val="000000" w:themeColor="text1"/>
          <w14:textFill>
            <w14:solidFill>
              <w14:schemeClr w14:val="tx1"/>
            </w14:solidFill>
          </w14:textFill>
        </w:rPr>
        <w:t>会员单位</w:t>
      </w:r>
      <w:r>
        <w:rPr>
          <w:rFonts w:hint="eastAsia"/>
        </w:rPr>
        <w:t>的融资对接服务</w:t>
      </w:r>
      <w:r>
        <w:t>。</w:t>
      </w:r>
    </w:p>
    <w:p w14:paraId="10463832">
      <w:pPr>
        <w:pStyle w:val="23"/>
        <w:keepNext w:val="0"/>
        <w:keepLines w:val="0"/>
        <w:pageBreakBefore w:val="0"/>
        <w:widowControl w:val="0"/>
        <w:kinsoku/>
        <w:wordWrap/>
        <w:overflowPunct/>
        <w:topLinePunct w:val="0"/>
        <w:autoSpaceDE w:val="0"/>
        <w:autoSpaceDN w:val="0"/>
        <w:bidi w:val="0"/>
        <w:snapToGrid w:val="0"/>
        <w:spacing w:line="580" w:lineRule="exact"/>
        <w:textAlignment w:val="auto"/>
      </w:pPr>
      <w:r>
        <w:rPr>
          <w:rFonts w:hint="eastAsia"/>
        </w:rPr>
        <w:t>七、相关要求</w:t>
      </w:r>
    </w:p>
    <w:p w14:paraId="37201568">
      <w:pPr>
        <w:pStyle w:val="17"/>
        <w:keepNext w:val="0"/>
        <w:keepLines w:val="0"/>
        <w:pageBreakBefore w:val="0"/>
        <w:widowControl w:val="0"/>
        <w:kinsoku/>
        <w:wordWrap/>
        <w:overflowPunct/>
        <w:topLinePunct w:val="0"/>
        <w:autoSpaceDE w:val="0"/>
        <w:autoSpaceDN w:val="0"/>
        <w:bidi w:val="0"/>
        <w:snapToGrid w:val="0"/>
        <w:spacing w:line="580" w:lineRule="exact"/>
        <w:textAlignment w:val="auto"/>
      </w:pPr>
      <w:r>
        <w:rPr>
          <w:rFonts w:hint="eastAsia"/>
        </w:rPr>
        <w:t>（一）请各设区市发展改革委和有关单位积极做好赛事组织工作，充分扩大宣传效应，广泛动员、认真组织符合条件的企业报名参赛。</w:t>
      </w:r>
      <w:r>
        <w:t>鼓励已申报省战新产业母基金出资相关未来产业天使基金</w:t>
      </w:r>
      <w:r>
        <w:rPr>
          <w:rFonts w:hint="eastAsia"/>
        </w:rPr>
        <w:t>、</w:t>
      </w:r>
      <w:r>
        <w:t>已申报未来产业先导区的设区市推荐优质项目参赛</w:t>
      </w:r>
      <w:r>
        <w:rPr>
          <w:rFonts w:hint="eastAsia"/>
        </w:rPr>
        <w:t>。</w:t>
      </w:r>
    </w:p>
    <w:p w14:paraId="5C10C6A0">
      <w:pPr>
        <w:pStyle w:val="17"/>
        <w:keepNext w:val="0"/>
        <w:keepLines w:val="0"/>
        <w:pageBreakBefore w:val="0"/>
        <w:widowControl w:val="0"/>
        <w:kinsoku/>
        <w:wordWrap/>
        <w:overflowPunct/>
        <w:topLinePunct w:val="0"/>
        <w:autoSpaceDE w:val="0"/>
        <w:autoSpaceDN w:val="0"/>
        <w:bidi w:val="0"/>
        <w:snapToGrid w:val="0"/>
        <w:spacing w:line="580" w:lineRule="exact"/>
        <w:textAlignment w:val="auto"/>
        <w:rPr>
          <w:rFonts w:hint="default" w:ascii="Times New Roman" w:hAnsi="Times New Roman" w:eastAsia="方正仿宋_GBK" w:cs="Times New Roman"/>
          <w:lang w:eastAsia="zh-CN"/>
        </w:rPr>
      </w:pPr>
      <w:r>
        <w:rPr>
          <w:rFonts w:hint="eastAsia"/>
        </w:rPr>
        <w:t>（二）</w:t>
      </w:r>
      <w:r>
        <w:rPr>
          <w:rFonts w:hint="default" w:ascii="Times New Roman" w:hAnsi="Times New Roman" w:eastAsia="方正仿宋_GBK" w:cs="Times New Roman"/>
        </w:rPr>
        <w:t>原则上每个设区市推荐申报不少于10个参赛项目（参赛类别不限），由各设区市发展改革委审核</w:t>
      </w:r>
      <w:r>
        <w:rPr>
          <w:rFonts w:hint="default" w:ascii="Times New Roman" w:hAnsi="Times New Roman" w:eastAsia="方正仿宋_GBK" w:cs="Times New Roman"/>
          <w:lang w:eastAsia="zh-CN"/>
        </w:rPr>
        <w:t>盖章</w:t>
      </w:r>
      <w:r>
        <w:rPr>
          <w:rFonts w:hint="default" w:ascii="Times New Roman" w:hAnsi="Times New Roman" w:eastAsia="方正仿宋_GBK" w:cs="Times New Roman"/>
        </w:rPr>
        <w:t>后将参赛项目汇总表、项目报名材料（含参赛企业资料填写表、企业盖章确认后的参赛承诺书等）发送至大赛组委会办公室邮箱（hesx@govtor.com）</w:t>
      </w:r>
      <w:r>
        <w:rPr>
          <w:rFonts w:hint="default" w:ascii="Times New Roman" w:hAnsi="Times New Roman" w:eastAsia="方正仿宋_GBK" w:cs="Times New Roman"/>
          <w:lang w:eastAsia="zh-CN"/>
        </w:rPr>
        <w:t>，盖章后的项目汇总表纸质版寄送至大赛组委会（地址：南京市鼓楼区虎踞路99号高投大厦四楼，何赛学（收），电话：19951659486）。</w:t>
      </w:r>
    </w:p>
    <w:p w14:paraId="07E937E0">
      <w:pPr>
        <w:pStyle w:val="23"/>
        <w:keepNext w:val="0"/>
        <w:keepLines w:val="0"/>
        <w:pageBreakBefore w:val="0"/>
        <w:widowControl w:val="0"/>
        <w:kinsoku/>
        <w:wordWrap/>
        <w:overflowPunct/>
        <w:topLinePunct w:val="0"/>
        <w:autoSpaceDE w:val="0"/>
        <w:autoSpaceDN w:val="0"/>
        <w:bidi w:val="0"/>
        <w:snapToGrid w:val="0"/>
        <w:spacing w:line="580" w:lineRule="exact"/>
        <w:textAlignment w:val="auto"/>
      </w:pPr>
    </w:p>
    <w:p w14:paraId="5CA65E31">
      <w:pPr>
        <w:pStyle w:val="23"/>
        <w:keepNext w:val="0"/>
        <w:keepLines w:val="0"/>
        <w:pageBreakBefore w:val="0"/>
        <w:widowControl w:val="0"/>
        <w:kinsoku/>
        <w:wordWrap/>
        <w:overflowPunct/>
        <w:topLinePunct w:val="0"/>
        <w:autoSpaceDE w:val="0"/>
        <w:autoSpaceDN w:val="0"/>
        <w:bidi w:val="0"/>
        <w:snapToGrid w:val="0"/>
        <w:spacing w:line="580" w:lineRule="exact"/>
        <w:textAlignment w:val="auto"/>
      </w:pPr>
      <w:r>
        <w:rPr>
          <w:rStyle w:val="19"/>
          <w:rFonts w:hint="eastAsia"/>
        </w:rPr>
        <w:t>附件：1</w:t>
      </w:r>
      <w:r>
        <w:rPr>
          <w:rFonts w:hint="eastAsia"/>
        </w:rPr>
        <w:t>．</w:t>
      </w:r>
      <w:r>
        <w:rPr>
          <w:rStyle w:val="19"/>
          <w:rFonts w:hint="eastAsia"/>
        </w:rPr>
        <w:t>江苏未来产业创新创业大赛参赛企业资料填写表</w:t>
      </w:r>
    </w:p>
    <w:p w14:paraId="14C812DF">
      <w:pPr>
        <w:pStyle w:val="17"/>
        <w:keepNext w:val="0"/>
        <w:keepLines w:val="0"/>
        <w:pageBreakBefore w:val="0"/>
        <w:widowControl w:val="0"/>
        <w:kinsoku/>
        <w:wordWrap/>
        <w:overflowPunct/>
        <w:topLinePunct w:val="0"/>
        <w:autoSpaceDE w:val="0"/>
        <w:autoSpaceDN w:val="0"/>
        <w:bidi w:val="0"/>
        <w:snapToGrid w:val="0"/>
        <w:spacing w:line="580" w:lineRule="exact"/>
        <w:textAlignment w:val="auto"/>
      </w:pPr>
      <w:r>
        <w:rPr>
          <w:rFonts w:hint="eastAsia"/>
        </w:rPr>
        <w:t xml:space="preserve">      2．江苏未来产业创新创业大赛参赛承诺书</w:t>
      </w:r>
    </w:p>
    <w:p w14:paraId="301135F2">
      <w:pPr>
        <w:pStyle w:val="17"/>
        <w:keepNext w:val="0"/>
        <w:keepLines w:val="0"/>
        <w:pageBreakBefore w:val="0"/>
        <w:widowControl w:val="0"/>
        <w:kinsoku/>
        <w:wordWrap/>
        <w:overflowPunct/>
        <w:topLinePunct w:val="0"/>
        <w:autoSpaceDE w:val="0"/>
        <w:autoSpaceDN w:val="0"/>
        <w:bidi w:val="0"/>
        <w:snapToGrid w:val="0"/>
        <w:spacing w:line="580" w:lineRule="exact"/>
        <w:textAlignment w:val="auto"/>
      </w:pPr>
      <w:r>
        <w:rPr>
          <w:rFonts w:hint="eastAsia"/>
        </w:rPr>
        <w:t xml:space="preserve">      3．江苏未来产业创新创业大赛参赛项目汇总表</w:t>
      </w:r>
    </w:p>
    <w:p w14:paraId="1B17A05F">
      <w:pPr>
        <w:pStyle w:val="17"/>
      </w:pPr>
    </w:p>
    <w:p w14:paraId="1CE8698E">
      <w:pPr>
        <w:pStyle w:val="17"/>
        <w:rPr>
          <w:rFonts w:hint="eastAsia"/>
        </w:rPr>
      </w:pPr>
    </w:p>
    <w:p w14:paraId="5AE99A7D">
      <w:pPr>
        <w:pStyle w:val="17"/>
        <w:jc w:val="center"/>
      </w:pPr>
      <w:r>
        <w:rPr>
          <w:rFonts w:hint="eastAsia"/>
        </w:rPr>
        <w:t xml:space="preserve">                      江苏省发展改革委</w:t>
      </w:r>
    </w:p>
    <w:p w14:paraId="3F46AE3B">
      <w:pPr>
        <w:pStyle w:val="17"/>
        <w:ind w:right="1280" w:rightChars="400"/>
        <w:jc w:val="right"/>
        <w:rPr>
          <w:rFonts w:hint="eastAsia"/>
        </w:rPr>
      </w:pPr>
      <w:r>
        <w:rPr>
          <w:rFonts w:hint="eastAsia"/>
        </w:rPr>
        <w:t>2024年7月</w:t>
      </w:r>
      <w:r>
        <w:rPr>
          <w:rFonts w:hint="eastAsia"/>
          <w:lang w:val="en-US" w:eastAsia="zh-CN"/>
        </w:rPr>
        <w:t xml:space="preserve"> </w:t>
      </w:r>
      <w:r>
        <w:rPr>
          <w:rFonts w:hint="eastAsia"/>
        </w:rPr>
        <w:t>日</w:t>
      </w:r>
    </w:p>
    <w:p w14:paraId="4029C8F9">
      <w:pPr>
        <w:pStyle w:val="17"/>
        <w:spacing w:before="240"/>
        <w:ind w:firstLine="616"/>
        <w:rPr>
          <w:spacing w:val="-6"/>
        </w:rPr>
      </w:pPr>
      <w:r>
        <w:rPr>
          <w:rFonts w:hint="eastAsia"/>
          <w:spacing w:val="-6"/>
        </w:rPr>
        <w:t>（联系人：何赛学、丁竹，联系电话：1</w:t>
      </w:r>
      <w:r>
        <w:rPr>
          <w:spacing w:val="-6"/>
        </w:rPr>
        <w:t>9951659486</w:t>
      </w:r>
      <w:r>
        <w:rPr>
          <w:rFonts w:hint="eastAsia"/>
          <w:spacing w:val="-6"/>
        </w:rPr>
        <w:t>、1</w:t>
      </w:r>
      <w:r>
        <w:rPr>
          <w:spacing w:val="-6"/>
        </w:rPr>
        <w:t>8151671081</w:t>
      </w:r>
      <w:r>
        <w:rPr>
          <w:rFonts w:hint="eastAsia"/>
          <w:spacing w:val="-6"/>
        </w:rPr>
        <w:t>）</w:t>
      </w:r>
    </w:p>
    <w:p w14:paraId="4F69F00D">
      <w:pPr>
        <w:widowControl/>
        <w:autoSpaceDE/>
        <w:autoSpaceDN/>
        <w:snapToGrid/>
        <w:spacing w:line="240" w:lineRule="auto"/>
        <w:ind w:firstLine="0"/>
        <w:jc w:val="left"/>
        <w:rPr>
          <w:rFonts w:ascii="Times New Roman"/>
          <w:szCs w:val="32"/>
        </w:rPr>
      </w:pPr>
      <w:r>
        <w:br w:type="page"/>
      </w:r>
    </w:p>
    <w:p w14:paraId="2B4682C1"/>
    <w:sectPr>
      <w:headerReference r:id="rId5" w:type="default"/>
      <w:footerReference r:id="rId7" w:type="default"/>
      <w:headerReference r:id="rId6" w:type="even"/>
      <w:footerReference r:id="rId8" w:type="even"/>
      <w:pgSz w:w="11906" w:h="16838"/>
      <w:pgMar w:top="2098" w:right="1415" w:bottom="1985" w:left="1531" w:header="851" w:footer="1361" w:gutter="0"/>
      <w:cols w:space="425" w:num="1"/>
      <w:docGrid w:type="linesAndChar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0C4D9">
    <w:pPr>
      <w:pStyle w:val="3"/>
      <w:wordWrap w:val="0"/>
      <w:ind w:right="320" w:rightChars="100"/>
      <w:jc w:val="right"/>
    </w:pPr>
    <w:r>
      <w:rPr>
        <w:rStyle w:val="8"/>
        <w:rFonts w:hint="eastAsia"/>
        <w:sz w:val="28"/>
        <w:szCs w:val="28"/>
      </w:rPr>
      <w:t>―</w:t>
    </w:r>
    <w:r>
      <w:rPr>
        <w:rStyle w:val="8"/>
        <w:rFonts w:hint="eastAsia" w:ascii="方正小标宋_GBK" w:eastAsia="方正小标宋_GBK"/>
        <w:sz w:val="28"/>
        <w:szCs w:val="28"/>
      </w:rPr>
      <w:t xml:space="preserve"> </w:t>
    </w:r>
    <w:r>
      <w:rPr>
        <w:rFonts w:ascii="宋体" w:hAnsi="宋体" w:eastAsia="宋体"/>
        <w:sz w:val="28"/>
        <w:szCs w:val="28"/>
      </w:rPr>
      <w:fldChar w:fldCharType="begin"/>
    </w:r>
    <w:r>
      <w:rPr>
        <w:rStyle w:val="8"/>
        <w:rFonts w:ascii="宋体" w:hAnsi="宋体" w:eastAsia="宋体"/>
        <w:sz w:val="28"/>
        <w:szCs w:val="28"/>
      </w:rPr>
      <w:instrText xml:space="preserve"> PAGE </w:instrText>
    </w:r>
    <w:r>
      <w:rPr>
        <w:rFonts w:ascii="宋体" w:hAnsi="宋体" w:eastAsia="宋体"/>
        <w:sz w:val="28"/>
        <w:szCs w:val="28"/>
      </w:rPr>
      <w:fldChar w:fldCharType="separate"/>
    </w:r>
    <w:r>
      <w:rPr>
        <w:rStyle w:val="8"/>
        <w:rFonts w:ascii="宋体" w:hAnsi="宋体" w:eastAsia="宋体"/>
        <w:sz w:val="28"/>
        <w:szCs w:val="28"/>
      </w:rPr>
      <w:t>1</w:t>
    </w:r>
    <w:r>
      <w:rPr>
        <w:rFonts w:ascii="宋体" w:hAnsi="宋体" w:eastAsia="宋体"/>
        <w:sz w:val="28"/>
        <w:szCs w:val="28"/>
      </w:rPr>
      <w:fldChar w:fldCharType="end"/>
    </w:r>
    <w:r>
      <w:rPr>
        <w:rStyle w:val="8"/>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0BEF9">
    <w:pPr>
      <w:pStyle w:val="3"/>
      <w:ind w:left="320" w:leftChars="100"/>
    </w:pPr>
    <w:r>
      <w:rPr>
        <w:rStyle w:val="8"/>
        <w:rFonts w:hint="eastAsia"/>
        <w:sz w:val="28"/>
        <w:szCs w:val="28"/>
      </w:rPr>
      <w:t>―</w:t>
    </w:r>
    <w:r>
      <w:rPr>
        <w:rStyle w:val="8"/>
        <w:rFonts w:hint="eastAsia" w:ascii="方正小标宋_GBK" w:eastAsia="方正小标宋_GBK"/>
        <w:sz w:val="28"/>
        <w:szCs w:val="28"/>
      </w:rPr>
      <w:t xml:space="preserve"> </w:t>
    </w:r>
    <w:r>
      <w:rPr>
        <w:rFonts w:ascii="宋体" w:hAnsi="宋体" w:eastAsia="宋体"/>
        <w:sz w:val="28"/>
        <w:szCs w:val="28"/>
      </w:rPr>
      <w:fldChar w:fldCharType="begin"/>
    </w:r>
    <w:r>
      <w:rPr>
        <w:rStyle w:val="8"/>
        <w:rFonts w:ascii="宋体" w:hAnsi="宋体" w:eastAsia="宋体"/>
        <w:sz w:val="28"/>
        <w:szCs w:val="28"/>
      </w:rPr>
      <w:instrText xml:space="preserve"> PAGE </w:instrText>
    </w:r>
    <w:r>
      <w:rPr>
        <w:rFonts w:ascii="宋体" w:hAnsi="宋体" w:eastAsia="宋体"/>
        <w:sz w:val="28"/>
        <w:szCs w:val="28"/>
      </w:rPr>
      <w:fldChar w:fldCharType="separate"/>
    </w:r>
    <w:r>
      <w:rPr>
        <w:rStyle w:val="8"/>
        <w:rFonts w:ascii="宋体" w:hAnsi="宋体" w:eastAsia="宋体"/>
        <w:sz w:val="28"/>
        <w:szCs w:val="28"/>
      </w:rPr>
      <w:t>2</w:t>
    </w:r>
    <w:r>
      <w:rPr>
        <w:rFonts w:ascii="宋体" w:hAnsi="宋体" w:eastAsia="宋体"/>
        <w:sz w:val="28"/>
        <w:szCs w:val="28"/>
      </w:rPr>
      <w:fldChar w:fldCharType="end"/>
    </w:r>
    <w:r>
      <w:rPr>
        <w:rStyle w:val="8"/>
        <w:rFonts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337BD">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00D00">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420"/>
  <w:evenAndOddHeaders w:val="1"/>
  <w:drawingGridHorizontalSpacing w:val="160"/>
  <w:drawingGridVerticalSpacing w:val="57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E0B"/>
    <w:rsid w:val="00012A8B"/>
    <w:rsid w:val="0003551D"/>
    <w:rsid w:val="00081DC0"/>
    <w:rsid w:val="000A5A04"/>
    <w:rsid w:val="000D061B"/>
    <w:rsid w:val="00115C00"/>
    <w:rsid w:val="00161B95"/>
    <w:rsid w:val="00176FDD"/>
    <w:rsid w:val="00190FA8"/>
    <w:rsid w:val="001941B9"/>
    <w:rsid w:val="001D243E"/>
    <w:rsid w:val="001E08F2"/>
    <w:rsid w:val="001F1A0E"/>
    <w:rsid w:val="0020504E"/>
    <w:rsid w:val="00232BC5"/>
    <w:rsid w:val="00265FAD"/>
    <w:rsid w:val="002A1B08"/>
    <w:rsid w:val="002E0C32"/>
    <w:rsid w:val="003375AD"/>
    <w:rsid w:val="0035623C"/>
    <w:rsid w:val="00362A5E"/>
    <w:rsid w:val="00372C60"/>
    <w:rsid w:val="003938EC"/>
    <w:rsid w:val="003D4785"/>
    <w:rsid w:val="004053BD"/>
    <w:rsid w:val="004430DB"/>
    <w:rsid w:val="0047356A"/>
    <w:rsid w:val="00501A97"/>
    <w:rsid w:val="00520B3A"/>
    <w:rsid w:val="00525D55"/>
    <w:rsid w:val="00573BE2"/>
    <w:rsid w:val="005A1AC8"/>
    <w:rsid w:val="005A5F67"/>
    <w:rsid w:val="005F69CD"/>
    <w:rsid w:val="00600890"/>
    <w:rsid w:val="006533B2"/>
    <w:rsid w:val="006A379E"/>
    <w:rsid w:val="006E4875"/>
    <w:rsid w:val="00713ADE"/>
    <w:rsid w:val="00773761"/>
    <w:rsid w:val="00782D49"/>
    <w:rsid w:val="00794B50"/>
    <w:rsid w:val="00797BBF"/>
    <w:rsid w:val="007A6059"/>
    <w:rsid w:val="00802002"/>
    <w:rsid w:val="00811000"/>
    <w:rsid w:val="008132A8"/>
    <w:rsid w:val="008620C7"/>
    <w:rsid w:val="00884F9B"/>
    <w:rsid w:val="00892C79"/>
    <w:rsid w:val="00894954"/>
    <w:rsid w:val="008B4EBD"/>
    <w:rsid w:val="008C6538"/>
    <w:rsid w:val="008D121A"/>
    <w:rsid w:val="008E2FB4"/>
    <w:rsid w:val="008E366E"/>
    <w:rsid w:val="00911209"/>
    <w:rsid w:val="009120FB"/>
    <w:rsid w:val="009318F2"/>
    <w:rsid w:val="00965450"/>
    <w:rsid w:val="00970937"/>
    <w:rsid w:val="009734B3"/>
    <w:rsid w:val="009B136B"/>
    <w:rsid w:val="009B524E"/>
    <w:rsid w:val="009C1B01"/>
    <w:rsid w:val="009D31BE"/>
    <w:rsid w:val="009E7695"/>
    <w:rsid w:val="00A26014"/>
    <w:rsid w:val="00A47C21"/>
    <w:rsid w:val="00A7720F"/>
    <w:rsid w:val="00A868F1"/>
    <w:rsid w:val="00A86C97"/>
    <w:rsid w:val="00A95F53"/>
    <w:rsid w:val="00AC03B3"/>
    <w:rsid w:val="00AD0B22"/>
    <w:rsid w:val="00B04F01"/>
    <w:rsid w:val="00B26BF0"/>
    <w:rsid w:val="00BA771B"/>
    <w:rsid w:val="00BD287B"/>
    <w:rsid w:val="00BE0765"/>
    <w:rsid w:val="00BF0197"/>
    <w:rsid w:val="00C1352E"/>
    <w:rsid w:val="00C37089"/>
    <w:rsid w:val="00CC0E0B"/>
    <w:rsid w:val="00CC7AE5"/>
    <w:rsid w:val="00CF4616"/>
    <w:rsid w:val="00D8440B"/>
    <w:rsid w:val="00DA4153"/>
    <w:rsid w:val="00DA4684"/>
    <w:rsid w:val="00DB2437"/>
    <w:rsid w:val="00DD1E5A"/>
    <w:rsid w:val="00E05C1D"/>
    <w:rsid w:val="00E2015F"/>
    <w:rsid w:val="00E46FE6"/>
    <w:rsid w:val="00E70960"/>
    <w:rsid w:val="00EA7470"/>
    <w:rsid w:val="00ED18C8"/>
    <w:rsid w:val="00EE39A0"/>
    <w:rsid w:val="00F04708"/>
    <w:rsid w:val="00F62091"/>
    <w:rsid w:val="00F7051F"/>
    <w:rsid w:val="00F80F87"/>
    <w:rsid w:val="00FB1667"/>
    <w:rsid w:val="00FB6F41"/>
    <w:rsid w:val="00FC5628"/>
    <w:rsid w:val="197F2B0C"/>
    <w:rsid w:val="511F232B"/>
    <w:rsid w:val="7FBBB04A"/>
    <w:rsid w:val="BE47A772"/>
    <w:rsid w:val="BFDFFF48"/>
    <w:rsid w:val="CBEFDB54"/>
    <w:rsid w:val="FCEF749B"/>
    <w:rsid w:val="FDFF8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方正仿宋_GBK" w:hAnsi="Times New Roman" w:eastAsia="方正仿宋_GBK" w:cs="Times New Roman"/>
      <w:snapToGrid w:val="0"/>
      <w:kern w:val="0"/>
      <w:sz w:val="32"/>
      <w:szCs w:val="20"/>
      <w:lang w:val="en-US" w:eastAsia="zh-CN" w:bidi="ar-SA"/>
    </w:rPr>
  </w:style>
  <w:style w:type="paragraph" w:styleId="2">
    <w:name w:val="heading 1"/>
    <w:basedOn w:val="1"/>
    <w:next w:val="1"/>
    <w:link w:val="16"/>
    <w:qFormat/>
    <w:uiPriority w:val="9"/>
    <w:pPr>
      <w:keepNext/>
      <w:keepLines/>
      <w:spacing w:before="340" w:after="330" w:line="578" w:lineRule="atLeast"/>
      <w:outlineLvl w:val="0"/>
    </w:pPr>
    <w:rPr>
      <w:rFonts w:ascii="Times New Roman"/>
      <w:b/>
      <w:bCs/>
      <w:kern w:val="44"/>
      <w:sz w:val="44"/>
      <w:szCs w:val="44"/>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0"/>
    <w:pPr>
      <w:tabs>
        <w:tab w:val="center" w:pos="4153"/>
        <w:tab w:val="right" w:pos="8306"/>
      </w:tabs>
      <w:autoSpaceDE/>
      <w:autoSpaceDN/>
      <w:spacing w:line="240" w:lineRule="auto"/>
      <w:ind w:firstLine="0"/>
      <w:jc w:val="left"/>
    </w:pPr>
    <w:rPr>
      <w:rFonts w:asciiTheme="minorHAnsi" w:hAnsiTheme="minorHAnsi" w:eastAsiaTheme="minorEastAsia" w:cstheme="minorBidi"/>
      <w:snapToGrid/>
      <w:kern w:val="2"/>
      <w:sz w:val="18"/>
      <w:szCs w:val="18"/>
    </w:rPr>
  </w:style>
  <w:style w:type="paragraph" w:styleId="4">
    <w:name w:val="header"/>
    <w:basedOn w:val="1"/>
    <w:link w:val="10"/>
    <w:unhideWhenUsed/>
    <w:qFormat/>
    <w:uiPriority w:val="0"/>
    <w:pPr>
      <w:pBdr>
        <w:bottom w:val="single" w:color="auto" w:sz="6" w:space="1"/>
      </w:pBdr>
      <w:tabs>
        <w:tab w:val="center" w:pos="4153"/>
        <w:tab w:val="right" w:pos="8306"/>
      </w:tabs>
      <w:autoSpaceDE/>
      <w:autoSpaceDN/>
      <w:spacing w:line="240" w:lineRule="auto"/>
      <w:ind w:firstLine="0"/>
      <w:jc w:val="center"/>
    </w:pPr>
    <w:rPr>
      <w:rFonts w:asciiTheme="minorHAnsi" w:hAnsiTheme="minorHAnsi" w:eastAsiaTheme="minorEastAsia" w:cstheme="minorBidi"/>
      <w:snapToGrid/>
      <w:kern w:val="2"/>
      <w:sz w:val="18"/>
      <w:szCs w:val="18"/>
    </w:rPr>
  </w:style>
  <w:style w:type="paragraph" w:styleId="5">
    <w:name w:val="Title"/>
    <w:basedOn w:val="1"/>
    <w:next w:val="1"/>
    <w:link w:val="34"/>
    <w:qFormat/>
    <w:uiPriority w:val="10"/>
    <w:pPr>
      <w:autoSpaceDE/>
      <w:autoSpaceDN/>
      <w:snapToGrid/>
      <w:spacing w:after="80" w:line="240" w:lineRule="auto"/>
      <w:ind w:firstLine="0"/>
      <w:contextualSpacing/>
      <w:jc w:val="center"/>
    </w:pPr>
    <w:rPr>
      <w:rFonts w:asciiTheme="majorHAnsi" w:hAnsiTheme="majorHAnsi" w:eastAsiaTheme="majorEastAsia" w:cstheme="majorBidi"/>
      <w:snapToGrid/>
      <w:spacing w:val="-10"/>
      <w:kern w:val="28"/>
      <w:sz w:val="56"/>
      <w:szCs w:val="56"/>
      <w14:ligatures w14:val="standardContextual"/>
    </w:rPr>
  </w:style>
  <w:style w:type="character" w:styleId="8">
    <w:name w:val="page number"/>
    <w:basedOn w:val="7"/>
    <w:qFormat/>
    <w:uiPriority w:val="0"/>
  </w:style>
  <w:style w:type="character" w:styleId="9">
    <w:name w:val="line number"/>
    <w:basedOn w:val="7"/>
    <w:semiHidden/>
    <w:unhideWhenUsed/>
    <w:qFormat/>
    <w:uiPriority w:val="99"/>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bCs w:val="0"/>
      <w:kern w:val="0"/>
      <w:sz w:val="10"/>
      <w:szCs w:val="20"/>
    </w:rPr>
  </w:style>
  <w:style w:type="paragraph" w:customStyle="1" w:styleId="13">
    <w:name w:val="附件栏"/>
    <w:basedOn w:val="1"/>
    <w:qFormat/>
    <w:uiPriority w:val="0"/>
    <w:rPr>
      <w:rFonts w:ascii="Times New Roman"/>
    </w:rPr>
  </w:style>
  <w:style w:type="paragraph" w:customStyle="1" w:styleId="14">
    <w:name w:val="印发栏"/>
    <w:basedOn w:val="1"/>
    <w:qFormat/>
    <w:uiPriority w:val="0"/>
    <w:pPr>
      <w:tabs>
        <w:tab w:val="right" w:pos="8505"/>
      </w:tabs>
      <w:snapToGrid/>
      <w:spacing w:line="454" w:lineRule="atLeast"/>
      <w:ind w:left="357" w:right="357" w:firstLine="0"/>
    </w:pPr>
    <w:rPr>
      <w:rFonts w:ascii="Times New Roman"/>
    </w:rPr>
  </w:style>
  <w:style w:type="paragraph" w:customStyle="1" w:styleId="15">
    <w:name w:val="线型"/>
    <w:basedOn w:val="1"/>
    <w:qFormat/>
    <w:uiPriority w:val="0"/>
    <w:pPr>
      <w:adjustRightInd w:val="0"/>
      <w:snapToGrid/>
      <w:spacing w:line="240" w:lineRule="auto"/>
      <w:ind w:right="357" w:firstLine="0"/>
      <w:jc w:val="center"/>
    </w:pPr>
    <w:rPr>
      <w:rFonts w:ascii="Times New Roman"/>
      <w:sz w:val="21"/>
    </w:rPr>
  </w:style>
  <w:style w:type="character" w:customStyle="1" w:styleId="16">
    <w:name w:val="标题 1 字符"/>
    <w:basedOn w:val="7"/>
    <w:link w:val="2"/>
    <w:qFormat/>
    <w:uiPriority w:val="9"/>
    <w:rPr>
      <w:rFonts w:ascii="Times New Roman" w:hAnsi="Times New Roman" w:eastAsia="方正仿宋_GBK" w:cs="Times New Roman"/>
      <w:b/>
      <w:bCs/>
      <w:snapToGrid w:val="0"/>
      <w:kern w:val="44"/>
      <w:sz w:val="44"/>
      <w:szCs w:val="44"/>
    </w:rPr>
  </w:style>
  <w:style w:type="paragraph" w:customStyle="1" w:styleId="17">
    <w:name w:val="样式-正文"/>
    <w:basedOn w:val="1"/>
    <w:link w:val="19"/>
    <w:qFormat/>
    <w:uiPriority w:val="0"/>
    <w:pPr>
      <w:spacing w:line="579" w:lineRule="exact"/>
      <w:ind w:firstLine="640" w:firstLineChars="200"/>
    </w:pPr>
    <w:rPr>
      <w:rFonts w:ascii="Times New Roman"/>
      <w:szCs w:val="32"/>
    </w:rPr>
  </w:style>
  <w:style w:type="paragraph" w:customStyle="1" w:styleId="18">
    <w:name w:val="样式-标题"/>
    <w:basedOn w:val="1"/>
    <w:link w:val="21"/>
    <w:qFormat/>
    <w:uiPriority w:val="0"/>
    <w:pPr>
      <w:pageBreakBefore/>
      <w:spacing w:line="579" w:lineRule="exact"/>
      <w:ind w:firstLine="0"/>
      <w:jc w:val="center"/>
    </w:pPr>
    <w:rPr>
      <w:rFonts w:ascii="Times New Roman" w:eastAsia="方正小标宋_GBK"/>
      <w:sz w:val="44"/>
      <w:szCs w:val="44"/>
    </w:rPr>
  </w:style>
  <w:style w:type="character" w:customStyle="1" w:styleId="19">
    <w:name w:val="样式-正文 Char"/>
    <w:basedOn w:val="7"/>
    <w:link w:val="17"/>
    <w:qFormat/>
    <w:uiPriority w:val="0"/>
    <w:rPr>
      <w:rFonts w:ascii="Times New Roman" w:hAnsi="Times New Roman" w:eastAsia="方正仿宋_GBK" w:cs="Times New Roman"/>
      <w:snapToGrid w:val="0"/>
      <w:kern w:val="0"/>
      <w:sz w:val="32"/>
      <w:szCs w:val="32"/>
    </w:rPr>
  </w:style>
  <w:style w:type="paragraph" w:customStyle="1" w:styleId="20">
    <w:name w:val="样式-标题1"/>
    <w:basedOn w:val="18"/>
    <w:next w:val="17"/>
    <w:link w:val="22"/>
    <w:qFormat/>
    <w:uiPriority w:val="0"/>
    <w:pPr>
      <w:pageBreakBefore w:val="0"/>
    </w:pPr>
  </w:style>
  <w:style w:type="character" w:customStyle="1" w:styleId="21">
    <w:name w:val="样式-标题 Char"/>
    <w:basedOn w:val="7"/>
    <w:link w:val="18"/>
    <w:qFormat/>
    <w:uiPriority w:val="0"/>
    <w:rPr>
      <w:rFonts w:ascii="Times New Roman" w:hAnsi="Times New Roman" w:eastAsia="方正小标宋_GBK" w:cs="Times New Roman"/>
      <w:snapToGrid w:val="0"/>
      <w:kern w:val="0"/>
      <w:sz w:val="44"/>
      <w:szCs w:val="44"/>
    </w:rPr>
  </w:style>
  <w:style w:type="character" w:customStyle="1" w:styleId="22">
    <w:name w:val="样式-标题1 Char"/>
    <w:basedOn w:val="21"/>
    <w:link w:val="20"/>
    <w:qFormat/>
    <w:uiPriority w:val="0"/>
    <w:rPr>
      <w:rFonts w:ascii="Times New Roman" w:hAnsi="Times New Roman" w:eastAsia="方正小标宋_GBK" w:cs="Times New Roman"/>
      <w:snapToGrid w:val="0"/>
      <w:kern w:val="0"/>
      <w:sz w:val="44"/>
      <w:szCs w:val="44"/>
    </w:rPr>
  </w:style>
  <w:style w:type="paragraph" w:customStyle="1" w:styleId="23">
    <w:name w:val="样式-标题2"/>
    <w:basedOn w:val="17"/>
    <w:next w:val="17"/>
    <w:qFormat/>
    <w:uiPriority w:val="0"/>
    <w:rPr>
      <w:rFonts w:eastAsia="方正黑体_GBK"/>
    </w:rPr>
  </w:style>
  <w:style w:type="paragraph" w:customStyle="1" w:styleId="24">
    <w:name w:val="样式-标题3"/>
    <w:basedOn w:val="17"/>
    <w:next w:val="17"/>
    <w:qFormat/>
    <w:uiPriority w:val="0"/>
    <w:pPr>
      <w:ind w:firstLine="643"/>
    </w:pPr>
    <w:rPr>
      <w:rFonts w:eastAsia="方正楷体_GBK"/>
      <w:b/>
    </w:rPr>
  </w:style>
  <w:style w:type="paragraph" w:customStyle="1" w:styleId="25">
    <w:name w:val="样式-标题4"/>
    <w:basedOn w:val="24"/>
    <w:next w:val="17"/>
    <w:qFormat/>
    <w:uiPriority w:val="0"/>
    <w:rPr>
      <w:b w:val="0"/>
    </w:rPr>
  </w:style>
  <w:style w:type="paragraph" w:customStyle="1" w:styleId="26">
    <w:name w:val="样式-标题5"/>
    <w:basedOn w:val="17"/>
    <w:next w:val="17"/>
    <w:qFormat/>
    <w:uiPriority w:val="0"/>
    <w:pPr>
      <w:ind w:firstLine="643"/>
    </w:pPr>
    <w:rPr>
      <w:b/>
    </w:rPr>
  </w:style>
  <w:style w:type="paragraph" w:customStyle="1" w:styleId="27">
    <w:name w:val="样式-表格标题"/>
    <w:basedOn w:val="1"/>
    <w:qFormat/>
    <w:uiPriority w:val="0"/>
    <w:pPr>
      <w:tabs>
        <w:tab w:val="center" w:pos="4423"/>
      </w:tabs>
      <w:spacing w:before="240" w:line="240" w:lineRule="auto"/>
      <w:ind w:firstLine="1040" w:firstLineChars="400"/>
      <w:jc w:val="left"/>
    </w:pPr>
    <w:rPr>
      <w:rFonts w:ascii="Times New Roman" w:eastAsia="方正小标宋_GBK"/>
      <w:sz w:val="28"/>
      <w:szCs w:val="28"/>
    </w:rPr>
  </w:style>
  <w:style w:type="paragraph" w:customStyle="1" w:styleId="28">
    <w:name w:val="样式-表头（图标题）"/>
    <w:basedOn w:val="1"/>
    <w:link w:val="30"/>
    <w:qFormat/>
    <w:uiPriority w:val="0"/>
    <w:pPr>
      <w:spacing w:line="240" w:lineRule="auto"/>
      <w:ind w:firstLine="0"/>
      <w:jc w:val="center"/>
    </w:pPr>
    <w:rPr>
      <w:rFonts w:ascii="Times New Roman" w:eastAsia="方正黑体_GBK"/>
      <w:sz w:val="21"/>
      <w:szCs w:val="24"/>
    </w:rPr>
  </w:style>
  <w:style w:type="paragraph" w:customStyle="1" w:styleId="29">
    <w:name w:val="样式-表芯"/>
    <w:basedOn w:val="1"/>
    <w:qFormat/>
    <w:uiPriority w:val="0"/>
    <w:pPr>
      <w:spacing w:line="240" w:lineRule="auto"/>
      <w:ind w:firstLine="0"/>
      <w:jc w:val="center"/>
    </w:pPr>
    <w:rPr>
      <w:rFonts w:ascii="Times New Roman"/>
      <w:sz w:val="21"/>
      <w:szCs w:val="24"/>
    </w:rPr>
  </w:style>
  <w:style w:type="character" w:customStyle="1" w:styleId="30">
    <w:name w:val="样式-表头（图标题） Char"/>
    <w:basedOn w:val="7"/>
    <w:link w:val="28"/>
    <w:qFormat/>
    <w:uiPriority w:val="0"/>
    <w:rPr>
      <w:rFonts w:ascii="Times New Roman" w:hAnsi="Times New Roman" w:eastAsia="方正黑体_GBK" w:cs="Times New Roman"/>
      <w:snapToGrid w:val="0"/>
      <w:kern w:val="0"/>
      <w:szCs w:val="24"/>
    </w:rPr>
  </w:style>
  <w:style w:type="paragraph" w:customStyle="1" w:styleId="31">
    <w:name w:val="样式-正文无缩进"/>
    <w:basedOn w:val="17"/>
    <w:next w:val="17"/>
    <w:qFormat/>
    <w:uiPriority w:val="0"/>
    <w:pPr>
      <w:ind w:firstLine="0" w:firstLineChars="0"/>
    </w:pPr>
  </w:style>
  <w:style w:type="paragraph" w:styleId="32">
    <w:name w:val="No Spacing"/>
    <w:basedOn w:val="17"/>
    <w:next w:val="17"/>
    <w:qFormat/>
    <w:uiPriority w:val="1"/>
    <w:pPr>
      <w:spacing w:line="500" w:lineRule="exact"/>
      <w:ind w:firstLine="200"/>
    </w:pPr>
    <w:rPr>
      <w:sz w:val="28"/>
      <w:szCs w:val="20"/>
    </w:rPr>
  </w:style>
  <w:style w:type="paragraph" w:styleId="33">
    <w:name w:val="List Paragraph"/>
    <w:basedOn w:val="1"/>
    <w:qFormat/>
    <w:uiPriority w:val="34"/>
    <w:pPr>
      <w:autoSpaceDE/>
      <w:autoSpaceDN/>
      <w:snapToGrid/>
      <w:spacing w:after="160" w:line="278" w:lineRule="auto"/>
      <w:ind w:left="720" w:firstLine="0"/>
      <w:contextualSpacing/>
      <w:jc w:val="left"/>
    </w:pPr>
    <w:rPr>
      <w:rFonts w:asciiTheme="minorHAnsi" w:hAnsiTheme="minorHAnsi" w:eastAsiaTheme="minorEastAsia" w:cstheme="minorBidi"/>
      <w:snapToGrid/>
      <w:kern w:val="2"/>
      <w:sz w:val="22"/>
      <w:szCs w:val="24"/>
      <w14:ligatures w14:val="standardContextual"/>
    </w:rPr>
  </w:style>
  <w:style w:type="character" w:customStyle="1" w:styleId="34">
    <w:name w:val="标题 字符"/>
    <w:basedOn w:val="7"/>
    <w:link w:val="5"/>
    <w:qFormat/>
    <w:uiPriority w:val="10"/>
    <w:rPr>
      <w:rFonts w:asciiTheme="majorHAnsi" w:hAnsiTheme="majorHAnsi" w:eastAsiaTheme="majorEastAsia" w:cstheme="majorBidi"/>
      <w:spacing w:val="-10"/>
      <w:kern w:val="28"/>
      <w:sz w:val="56"/>
      <w:szCs w:val="56"/>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home\huawei\C:\Users\Administrator\AppData\Roaming\Microsoft\Templates\&#20844;&#25991;.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EEDF176F-2BCA-4A17-BE14-B654EC61A51C}">
  <ds:schemaRefs/>
</ds:datastoreItem>
</file>

<file path=docProps/app.xml><?xml version="1.0" encoding="utf-8"?>
<Properties xmlns="http://schemas.openxmlformats.org/officeDocument/2006/extended-properties" xmlns:vt="http://schemas.openxmlformats.org/officeDocument/2006/docPropsVTypes">
  <Template>公文.dotm</Template>
  <Pages>15</Pages>
  <Words>899</Words>
  <Characters>5129</Characters>
  <Lines>42</Lines>
  <Paragraphs>12</Paragraphs>
  <TotalTime>0</TotalTime>
  <ScaleCrop>false</ScaleCrop>
  <LinksUpToDate>false</LinksUpToDate>
  <CharactersWithSpaces>6016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2024-07-13T19:19:00Z</dcterms:created>
  <dc:creator>HL</dc:creator>
  <cp:lastModifiedBy>胡超越</cp:lastModifiedBy>
  <cp:lastPrinted>2024-07-17T17:44:00Z</cp:lastPrinted>
  <dcterms:modified xsi:type="dcterms:W3CDTF">2024-07-22T01:33:56Z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255A4495C2354FD9ABFE2FFB14FFEA80_13</vt:lpwstr>
  </property>
</Properties>
</file>