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156" w:after="156" w:line="360" w:lineRule="auto"/>
        <w:ind w:firstLine="643"/>
        <w:jc w:val="center"/>
        <w:rPr>
          <w:rFonts w:ascii="黑体" w:hAnsi="黑体" w:eastAsia="黑体"/>
          <w:sz w:val="32"/>
          <w:szCs w:val="32"/>
        </w:rPr>
      </w:pPr>
      <w:bookmarkStart w:id="0" w:name="_Toc292"/>
      <w:bookmarkStart w:id="1" w:name="_Toc31516"/>
      <w:r>
        <w:rPr>
          <w:rFonts w:hint="eastAsia" w:ascii="黑体" w:hAnsi="黑体" w:eastAsia="黑体"/>
          <w:sz w:val="32"/>
          <w:szCs w:val="32"/>
        </w:rPr>
        <w:t>苏州工业园区2</w:t>
      </w:r>
      <w:r>
        <w:rPr>
          <w:rFonts w:ascii="黑体" w:hAnsi="黑体" w:eastAsia="黑体"/>
          <w:sz w:val="32"/>
          <w:szCs w:val="32"/>
        </w:rPr>
        <w:t>0</w:t>
      </w:r>
      <w:r>
        <w:rPr>
          <w:rFonts w:hint="eastAsia" w:ascii="黑体" w:hAnsi="黑体" w:eastAsia="黑体"/>
          <w:sz w:val="32"/>
          <w:szCs w:val="32"/>
          <w:lang w:val="en-US" w:eastAsia="zh-CN"/>
        </w:rPr>
        <w:t>20</w:t>
      </w:r>
      <w:r>
        <w:rPr>
          <w:rFonts w:hint="eastAsia" w:ascii="黑体" w:hAnsi="黑体" w:eastAsia="黑体"/>
          <w:sz w:val="32"/>
          <w:szCs w:val="32"/>
        </w:rPr>
        <w:t>年“金鸡湖人才计划”</w:t>
      </w:r>
      <w:bookmarkEnd w:id="0"/>
      <w:bookmarkEnd w:id="1"/>
    </w:p>
    <w:p>
      <w:pPr>
        <w:pStyle w:val="2"/>
        <w:spacing w:before="156" w:after="156" w:line="360" w:lineRule="auto"/>
        <w:ind w:firstLine="643"/>
        <w:jc w:val="center"/>
        <w:rPr>
          <w:rFonts w:ascii="黑体" w:hAnsi="黑体" w:eastAsia="黑体"/>
          <w:sz w:val="32"/>
          <w:szCs w:val="32"/>
        </w:rPr>
      </w:pPr>
      <w:bookmarkStart w:id="2" w:name="_Toc29847"/>
      <w:bookmarkStart w:id="3" w:name="_Toc14166"/>
      <w:r>
        <w:rPr>
          <w:rFonts w:hint="eastAsia" w:ascii="黑体" w:hAnsi="黑体" w:eastAsia="黑体"/>
          <w:sz w:val="32"/>
          <w:szCs w:val="32"/>
        </w:rPr>
        <w:t>网上申报指引</w:t>
      </w:r>
      <w:bookmarkEnd w:id="2"/>
      <w:bookmarkEnd w:id="3"/>
    </w:p>
    <w:p>
      <w:pPr>
        <w:pStyle w:val="9"/>
        <w:tabs>
          <w:tab w:val="right" w:leader="dot" w:pos="8306"/>
        </w:tabs>
        <w:spacing w:before="156" w:after="156" w:line="240" w:lineRule="auto"/>
        <w:ind w:firstLine="480"/>
        <w:rPr>
          <w:rFonts w:ascii="宋体" w:hAnsi="宋体" w:eastAsia="宋体" w:cs="宋体"/>
        </w:rPr>
      </w:pPr>
    </w:p>
    <w:p>
      <w:pPr>
        <w:spacing w:before="156" w:after="156" w:line="240" w:lineRule="auto"/>
        <w:ind w:firstLine="480"/>
        <w:jc w:val="center"/>
        <w:rPr>
          <w:rFonts w:hint="eastAsia" w:ascii="宋体" w:hAnsi="宋体" w:eastAsia="宋体" w:cs="宋体"/>
          <w:kern w:val="2"/>
          <w:sz w:val="24"/>
          <w:szCs w:val="22"/>
          <w:highlight w:val="yellow"/>
          <w:lang w:val="en-US" w:eastAsia="zh-CN" w:bidi="ar-SA"/>
        </w:rPr>
      </w:pPr>
      <w:r>
        <w:rPr>
          <w:rFonts w:hint="eastAsia" w:ascii="宋体" w:hAnsi="宋体" w:eastAsia="宋体" w:cs="宋体"/>
          <w:sz w:val="28"/>
          <w:szCs w:val="24"/>
          <w:highlight w:val="none"/>
        </w:rPr>
        <w:t>目录</w:t>
      </w:r>
      <w:r>
        <w:rPr>
          <w:rFonts w:hint="eastAsia" w:ascii="宋体" w:hAnsi="宋体" w:eastAsia="宋体" w:cs="宋体"/>
          <w:highlight w:val="yellow"/>
        </w:rPr>
        <w:fldChar w:fldCharType="begin"/>
      </w:r>
      <w:r>
        <w:rPr>
          <w:rFonts w:hint="eastAsia" w:ascii="宋体" w:hAnsi="宋体" w:eastAsia="宋体" w:cs="宋体"/>
          <w:highlight w:val="yellow"/>
        </w:rPr>
        <w:instrText xml:space="preserve">TOC \o "1-3" \h \u </w:instrText>
      </w:r>
      <w:r>
        <w:rPr>
          <w:rFonts w:hint="eastAsia" w:ascii="宋体" w:hAnsi="宋体" w:eastAsia="宋体" w:cs="宋体"/>
          <w:highlight w:val="yellow"/>
        </w:rPr>
        <w:fldChar w:fldCharType="separate"/>
      </w:r>
    </w:p>
    <w:p>
      <w:pPr>
        <w:pStyle w:val="9"/>
        <w:tabs>
          <w:tab w:val="right" w:leader="dot" w:pos="8306"/>
        </w:tabs>
        <w:spacing w:line="240" w:lineRule="auto"/>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_Toc2112 </w:instrText>
      </w:r>
      <w:r>
        <w:rPr>
          <w:rFonts w:hint="eastAsia" w:ascii="宋体" w:hAnsi="宋体" w:eastAsia="宋体" w:cs="宋体"/>
          <w:highlight w:val="none"/>
        </w:rPr>
        <w:fldChar w:fldCharType="separate"/>
      </w:r>
      <w:r>
        <w:rPr>
          <w:rFonts w:hint="eastAsia" w:ascii="宋体" w:hAnsi="宋体" w:eastAsia="宋体" w:cs="宋体"/>
          <w:szCs w:val="30"/>
          <w:highlight w:val="none"/>
        </w:rPr>
        <w:t xml:space="preserve">一、 </w:t>
      </w:r>
      <w:r>
        <w:rPr>
          <w:rFonts w:hint="eastAsia" w:ascii="宋体" w:hAnsi="宋体" w:eastAsia="宋体" w:cs="宋体"/>
          <w:szCs w:val="30"/>
          <w:highlight w:val="none"/>
          <w:lang w:val="en-US" w:eastAsia="zh-CN"/>
        </w:rPr>
        <w:t>系统登录</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_Toc2112 </w:instrText>
      </w:r>
      <w:r>
        <w:rPr>
          <w:rFonts w:hint="eastAsia" w:ascii="宋体" w:hAnsi="宋体" w:eastAsia="宋体" w:cs="宋体"/>
          <w:highlight w:val="none"/>
        </w:rPr>
        <w:fldChar w:fldCharType="separate"/>
      </w:r>
      <w:r>
        <w:rPr>
          <w:rFonts w:hint="eastAsia" w:ascii="宋体" w:hAnsi="宋体" w:eastAsia="宋体" w:cs="宋体"/>
          <w:highlight w:val="none"/>
        </w:rPr>
        <w:t>2</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pPr>
        <w:pStyle w:val="9"/>
        <w:tabs>
          <w:tab w:val="right" w:leader="dot" w:pos="8306"/>
        </w:tabs>
        <w:spacing w:line="240" w:lineRule="auto"/>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_Toc21547 </w:instrText>
      </w:r>
      <w:r>
        <w:rPr>
          <w:rFonts w:hint="eastAsia" w:ascii="宋体" w:hAnsi="宋体" w:eastAsia="宋体" w:cs="宋体"/>
          <w:highlight w:val="none"/>
        </w:rPr>
        <w:fldChar w:fldCharType="separate"/>
      </w:r>
      <w:r>
        <w:rPr>
          <w:rFonts w:hint="eastAsia" w:ascii="宋体" w:hAnsi="宋体" w:eastAsia="宋体" w:cs="宋体"/>
          <w:szCs w:val="30"/>
          <w:highlight w:val="none"/>
        </w:rPr>
        <w:t>二、 操作步骤</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_Toc21547 </w:instrText>
      </w:r>
      <w:r>
        <w:rPr>
          <w:rFonts w:hint="eastAsia" w:ascii="宋体" w:hAnsi="宋体" w:eastAsia="宋体" w:cs="宋体"/>
          <w:highlight w:val="none"/>
        </w:rPr>
        <w:fldChar w:fldCharType="separate"/>
      </w:r>
      <w:r>
        <w:rPr>
          <w:rFonts w:hint="eastAsia" w:ascii="宋体" w:hAnsi="宋体" w:eastAsia="宋体" w:cs="宋体"/>
          <w:highlight w:val="none"/>
        </w:rPr>
        <w:t>4</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pPr>
        <w:pStyle w:val="10"/>
        <w:tabs>
          <w:tab w:val="right" w:leader="dot" w:pos="8306"/>
        </w:tabs>
        <w:spacing w:line="240" w:lineRule="auto"/>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_Toc1570 </w:instrText>
      </w:r>
      <w:r>
        <w:rPr>
          <w:rFonts w:hint="eastAsia" w:ascii="宋体" w:hAnsi="宋体" w:eastAsia="宋体" w:cs="宋体"/>
          <w:highlight w:val="none"/>
        </w:rPr>
        <w:fldChar w:fldCharType="separate"/>
      </w:r>
      <w:r>
        <w:rPr>
          <w:rFonts w:hint="eastAsia" w:ascii="宋体" w:hAnsi="宋体" w:eastAsia="宋体" w:cs="宋体"/>
          <w:szCs w:val="30"/>
          <w:highlight w:val="none"/>
        </w:rPr>
        <w:t xml:space="preserve">1、 </w:t>
      </w:r>
      <w:r>
        <w:rPr>
          <w:rFonts w:hint="eastAsia" w:ascii="宋体" w:hAnsi="宋体" w:eastAsia="宋体" w:cs="宋体"/>
          <w:szCs w:val="30"/>
          <w:highlight w:val="none"/>
          <w:lang w:val="en-US" w:eastAsia="zh-CN"/>
        </w:rPr>
        <w:t>申报首页</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_Toc1570 </w:instrText>
      </w:r>
      <w:r>
        <w:rPr>
          <w:rFonts w:hint="eastAsia" w:ascii="宋体" w:hAnsi="宋体" w:eastAsia="宋体" w:cs="宋体"/>
          <w:highlight w:val="none"/>
        </w:rPr>
        <w:fldChar w:fldCharType="separate"/>
      </w:r>
      <w:r>
        <w:rPr>
          <w:rFonts w:hint="eastAsia" w:ascii="宋体" w:hAnsi="宋体" w:eastAsia="宋体" w:cs="宋体"/>
          <w:highlight w:val="none"/>
        </w:rPr>
        <w:t>4</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pPr>
        <w:pStyle w:val="10"/>
        <w:tabs>
          <w:tab w:val="right" w:leader="dot" w:pos="8306"/>
        </w:tabs>
        <w:spacing w:line="240" w:lineRule="auto"/>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_Toc28613 </w:instrText>
      </w:r>
      <w:r>
        <w:rPr>
          <w:rFonts w:hint="eastAsia" w:ascii="宋体" w:hAnsi="宋体" w:eastAsia="宋体" w:cs="宋体"/>
          <w:highlight w:val="none"/>
        </w:rPr>
        <w:fldChar w:fldCharType="separate"/>
      </w:r>
      <w:r>
        <w:rPr>
          <w:rFonts w:hint="eastAsia" w:ascii="宋体" w:hAnsi="宋体" w:eastAsia="宋体" w:cs="宋体"/>
          <w:szCs w:val="30"/>
          <w:highlight w:val="none"/>
        </w:rPr>
        <w:t xml:space="preserve">2、 </w:t>
      </w:r>
      <w:r>
        <w:rPr>
          <w:rFonts w:hint="eastAsia" w:ascii="宋体" w:hAnsi="宋体" w:eastAsia="宋体" w:cs="宋体"/>
          <w:szCs w:val="30"/>
          <w:highlight w:val="none"/>
          <w:lang w:val="en-US" w:eastAsia="zh-CN"/>
        </w:rPr>
        <w:t>申报类型选择</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_Toc28613 </w:instrText>
      </w:r>
      <w:r>
        <w:rPr>
          <w:rFonts w:hint="eastAsia" w:ascii="宋体" w:hAnsi="宋体" w:eastAsia="宋体" w:cs="宋体"/>
          <w:highlight w:val="none"/>
        </w:rPr>
        <w:fldChar w:fldCharType="separate"/>
      </w:r>
      <w:r>
        <w:rPr>
          <w:rFonts w:hint="eastAsia" w:ascii="宋体" w:hAnsi="宋体" w:eastAsia="宋体" w:cs="宋体"/>
          <w:highlight w:val="none"/>
        </w:rPr>
        <w:t>6</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pPr>
        <w:pStyle w:val="10"/>
        <w:tabs>
          <w:tab w:val="right" w:leader="dot" w:pos="8306"/>
        </w:tabs>
        <w:spacing w:line="240" w:lineRule="auto"/>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_Toc12854 </w:instrText>
      </w:r>
      <w:r>
        <w:rPr>
          <w:rFonts w:hint="eastAsia" w:ascii="宋体" w:hAnsi="宋体" w:eastAsia="宋体" w:cs="宋体"/>
          <w:highlight w:val="none"/>
        </w:rPr>
        <w:fldChar w:fldCharType="separate"/>
      </w:r>
      <w:r>
        <w:rPr>
          <w:rFonts w:hint="eastAsia" w:ascii="宋体" w:hAnsi="宋体" w:eastAsia="宋体" w:cs="宋体"/>
          <w:szCs w:val="30"/>
          <w:highlight w:val="none"/>
        </w:rPr>
        <w:t xml:space="preserve">3、 </w:t>
      </w:r>
      <w:r>
        <w:rPr>
          <w:rFonts w:hint="eastAsia" w:ascii="宋体" w:hAnsi="宋体" w:eastAsia="宋体" w:cs="宋体"/>
          <w:szCs w:val="30"/>
          <w:highlight w:val="none"/>
          <w:lang w:val="en-US" w:eastAsia="zh-CN"/>
        </w:rPr>
        <w:t>承诺函确认</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_Toc12854 </w:instrText>
      </w:r>
      <w:r>
        <w:rPr>
          <w:rFonts w:hint="eastAsia" w:ascii="宋体" w:hAnsi="宋体" w:eastAsia="宋体" w:cs="宋体"/>
          <w:highlight w:val="none"/>
        </w:rPr>
        <w:fldChar w:fldCharType="separate"/>
      </w:r>
      <w:r>
        <w:rPr>
          <w:rFonts w:hint="eastAsia" w:ascii="宋体" w:hAnsi="宋体" w:eastAsia="宋体" w:cs="宋体"/>
          <w:highlight w:val="none"/>
        </w:rPr>
        <w:t>8</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pPr>
        <w:pStyle w:val="10"/>
        <w:tabs>
          <w:tab w:val="right" w:leader="dot" w:pos="8306"/>
        </w:tabs>
        <w:spacing w:line="240" w:lineRule="auto"/>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_Toc13057 </w:instrText>
      </w:r>
      <w:r>
        <w:rPr>
          <w:rFonts w:hint="eastAsia" w:ascii="宋体" w:hAnsi="宋体" w:eastAsia="宋体" w:cs="宋体"/>
          <w:highlight w:val="none"/>
        </w:rPr>
        <w:fldChar w:fldCharType="separate"/>
      </w:r>
      <w:r>
        <w:rPr>
          <w:rFonts w:hint="eastAsia" w:ascii="宋体" w:hAnsi="宋体" w:eastAsia="宋体" w:cs="宋体"/>
          <w:szCs w:val="30"/>
          <w:highlight w:val="none"/>
        </w:rPr>
        <w:t xml:space="preserve">4、 </w:t>
      </w:r>
      <w:r>
        <w:rPr>
          <w:rFonts w:hint="eastAsia" w:ascii="宋体" w:hAnsi="宋体" w:eastAsia="宋体" w:cs="宋体"/>
          <w:szCs w:val="30"/>
          <w:highlight w:val="none"/>
          <w:lang w:val="en-US" w:eastAsia="zh-CN"/>
        </w:rPr>
        <w:t>开始填报</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_Toc13057 </w:instrText>
      </w:r>
      <w:r>
        <w:rPr>
          <w:rFonts w:hint="eastAsia" w:ascii="宋体" w:hAnsi="宋体" w:eastAsia="宋体" w:cs="宋体"/>
          <w:highlight w:val="none"/>
        </w:rPr>
        <w:fldChar w:fldCharType="separate"/>
      </w:r>
      <w:r>
        <w:rPr>
          <w:rFonts w:hint="eastAsia" w:ascii="宋体" w:hAnsi="宋体" w:eastAsia="宋体" w:cs="宋体"/>
          <w:highlight w:val="none"/>
        </w:rPr>
        <w:t>8</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pPr>
        <w:pStyle w:val="5"/>
        <w:tabs>
          <w:tab w:val="right" w:leader="dot" w:pos="8306"/>
        </w:tabs>
        <w:spacing w:line="240" w:lineRule="auto"/>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_Toc17852 </w:instrText>
      </w:r>
      <w:r>
        <w:rPr>
          <w:rFonts w:hint="eastAsia" w:ascii="宋体" w:hAnsi="宋体" w:eastAsia="宋体" w:cs="宋体"/>
          <w:highlight w:val="none"/>
        </w:rPr>
        <w:fldChar w:fldCharType="separate"/>
      </w:r>
      <w:r>
        <w:rPr>
          <w:rFonts w:hint="eastAsia" w:ascii="宋体" w:hAnsi="宋体" w:eastAsia="宋体" w:cs="宋体"/>
          <w:bCs/>
          <w:kern w:val="2"/>
          <w:szCs w:val="24"/>
          <w:highlight w:val="none"/>
          <w:lang w:val="en-US" w:eastAsia="zh-CN" w:bidi="ar-SA"/>
        </w:rPr>
        <w:t>（1） 申报信息填写</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_Toc17852 </w:instrText>
      </w:r>
      <w:r>
        <w:rPr>
          <w:rFonts w:hint="eastAsia" w:ascii="宋体" w:hAnsi="宋体" w:eastAsia="宋体" w:cs="宋体"/>
          <w:highlight w:val="none"/>
        </w:rPr>
        <w:fldChar w:fldCharType="separate"/>
      </w:r>
      <w:r>
        <w:rPr>
          <w:rFonts w:hint="eastAsia" w:ascii="宋体" w:hAnsi="宋体" w:eastAsia="宋体" w:cs="宋体"/>
          <w:highlight w:val="none"/>
        </w:rPr>
        <w:t>9</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pPr>
        <w:pStyle w:val="5"/>
        <w:tabs>
          <w:tab w:val="right" w:leader="dot" w:pos="8306"/>
        </w:tabs>
        <w:spacing w:line="240" w:lineRule="auto"/>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_Toc17899 </w:instrText>
      </w:r>
      <w:r>
        <w:rPr>
          <w:rFonts w:hint="eastAsia" w:ascii="宋体" w:hAnsi="宋体" w:eastAsia="宋体" w:cs="宋体"/>
          <w:highlight w:val="none"/>
        </w:rPr>
        <w:fldChar w:fldCharType="separate"/>
      </w:r>
      <w:r>
        <w:rPr>
          <w:rFonts w:hint="eastAsia" w:ascii="宋体" w:hAnsi="宋体" w:eastAsia="宋体" w:cs="宋体"/>
          <w:bCs/>
          <w:kern w:val="2"/>
          <w:szCs w:val="24"/>
          <w:highlight w:val="none"/>
          <w:lang w:val="en-US" w:eastAsia="zh-CN" w:bidi="ar-SA"/>
        </w:rPr>
        <w:t>（2） 申报人信息填写</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_Toc17899 </w:instrText>
      </w:r>
      <w:r>
        <w:rPr>
          <w:rFonts w:hint="eastAsia" w:ascii="宋体" w:hAnsi="宋体" w:eastAsia="宋体" w:cs="宋体"/>
          <w:highlight w:val="none"/>
        </w:rPr>
        <w:fldChar w:fldCharType="separate"/>
      </w:r>
      <w:r>
        <w:rPr>
          <w:rFonts w:hint="eastAsia" w:ascii="宋体" w:hAnsi="宋体" w:eastAsia="宋体" w:cs="宋体"/>
          <w:highlight w:val="none"/>
        </w:rPr>
        <w:t>9</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pPr>
        <w:pStyle w:val="5"/>
        <w:tabs>
          <w:tab w:val="right" w:leader="dot" w:pos="8306"/>
        </w:tabs>
        <w:spacing w:line="240" w:lineRule="auto"/>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_Toc29992 </w:instrText>
      </w:r>
      <w:r>
        <w:rPr>
          <w:rFonts w:hint="eastAsia" w:ascii="宋体" w:hAnsi="宋体" w:eastAsia="宋体" w:cs="宋体"/>
          <w:highlight w:val="none"/>
        </w:rPr>
        <w:fldChar w:fldCharType="separate"/>
      </w:r>
      <w:r>
        <w:rPr>
          <w:rFonts w:hint="eastAsia" w:ascii="宋体" w:hAnsi="宋体" w:eastAsia="宋体" w:cs="宋体"/>
          <w:bCs/>
          <w:kern w:val="2"/>
          <w:szCs w:val="24"/>
          <w:highlight w:val="none"/>
          <w:lang w:val="en-US" w:eastAsia="zh-CN" w:bidi="ar-SA"/>
        </w:rPr>
        <w:t>（3） 单位信息填写</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_Toc29992 </w:instrText>
      </w:r>
      <w:r>
        <w:rPr>
          <w:rFonts w:hint="eastAsia" w:ascii="宋体" w:hAnsi="宋体" w:eastAsia="宋体" w:cs="宋体"/>
          <w:highlight w:val="none"/>
        </w:rPr>
        <w:fldChar w:fldCharType="separate"/>
      </w:r>
      <w:r>
        <w:rPr>
          <w:rFonts w:hint="eastAsia" w:ascii="宋体" w:hAnsi="宋体" w:eastAsia="宋体" w:cs="宋体"/>
          <w:highlight w:val="none"/>
        </w:rPr>
        <w:t>11</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pPr>
        <w:pStyle w:val="5"/>
        <w:tabs>
          <w:tab w:val="right" w:leader="dot" w:pos="8306"/>
        </w:tabs>
        <w:spacing w:line="240" w:lineRule="auto"/>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_Toc3391 </w:instrText>
      </w:r>
      <w:r>
        <w:rPr>
          <w:rFonts w:hint="eastAsia" w:ascii="宋体" w:hAnsi="宋体" w:eastAsia="宋体" w:cs="宋体"/>
          <w:highlight w:val="none"/>
        </w:rPr>
        <w:fldChar w:fldCharType="separate"/>
      </w:r>
      <w:r>
        <w:rPr>
          <w:rFonts w:hint="eastAsia" w:ascii="宋体" w:hAnsi="宋体" w:eastAsia="宋体" w:cs="宋体"/>
          <w:bCs/>
          <w:kern w:val="2"/>
          <w:szCs w:val="24"/>
          <w:highlight w:val="none"/>
          <w:lang w:val="en-US" w:eastAsia="zh-CN" w:bidi="ar-SA"/>
        </w:rPr>
        <w:t>（4） 附件材料上传</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_Toc3391 </w:instrText>
      </w:r>
      <w:r>
        <w:rPr>
          <w:rFonts w:hint="eastAsia" w:ascii="宋体" w:hAnsi="宋体" w:eastAsia="宋体" w:cs="宋体"/>
          <w:highlight w:val="none"/>
        </w:rPr>
        <w:fldChar w:fldCharType="separate"/>
      </w:r>
      <w:r>
        <w:rPr>
          <w:rFonts w:hint="eastAsia" w:ascii="宋体" w:hAnsi="宋体" w:eastAsia="宋体" w:cs="宋体"/>
          <w:highlight w:val="none"/>
        </w:rPr>
        <w:t>12</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pPr>
        <w:pStyle w:val="5"/>
        <w:tabs>
          <w:tab w:val="right" w:leader="dot" w:pos="8306"/>
        </w:tabs>
        <w:spacing w:line="240" w:lineRule="auto"/>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_Toc29699 </w:instrText>
      </w:r>
      <w:r>
        <w:rPr>
          <w:rFonts w:hint="eastAsia" w:ascii="宋体" w:hAnsi="宋体" w:eastAsia="宋体" w:cs="宋体"/>
          <w:highlight w:val="none"/>
        </w:rPr>
        <w:fldChar w:fldCharType="separate"/>
      </w:r>
      <w:r>
        <w:rPr>
          <w:rFonts w:hint="eastAsia" w:ascii="宋体" w:hAnsi="宋体" w:eastAsia="宋体" w:cs="宋体"/>
          <w:bCs/>
          <w:kern w:val="2"/>
          <w:szCs w:val="24"/>
          <w:highlight w:val="none"/>
          <w:lang w:val="en-US" w:eastAsia="zh-CN" w:bidi="ar-SA"/>
        </w:rPr>
        <w:t>（5） 检查并提交</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_Toc29699 </w:instrText>
      </w:r>
      <w:r>
        <w:rPr>
          <w:rFonts w:hint="eastAsia" w:ascii="宋体" w:hAnsi="宋体" w:eastAsia="宋体" w:cs="宋体"/>
          <w:highlight w:val="none"/>
        </w:rPr>
        <w:fldChar w:fldCharType="separate"/>
      </w:r>
      <w:r>
        <w:rPr>
          <w:rFonts w:hint="eastAsia" w:ascii="宋体" w:hAnsi="宋体" w:eastAsia="宋体" w:cs="宋体"/>
          <w:highlight w:val="none"/>
        </w:rPr>
        <w:t>13</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pPr>
        <w:pStyle w:val="10"/>
        <w:tabs>
          <w:tab w:val="right" w:leader="dot" w:pos="8306"/>
        </w:tabs>
        <w:spacing w:line="240" w:lineRule="auto"/>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_Toc4430 </w:instrText>
      </w:r>
      <w:r>
        <w:rPr>
          <w:rFonts w:hint="eastAsia" w:ascii="宋体" w:hAnsi="宋体" w:eastAsia="宋体" w:cs="宋体"/>
          <w:highlight w:val="none"/>
        </w:rPr>
        <w:fldChar w:fldCharType="separate"/>
      </w:r>
      <w:r>
        <w:rPr>
          <w:rFonts w:hint="eastAsia" w:ascii="宋体" w:hAnsi="宋体" w:eastAsia="宋体" w:cs="宋体"/>
          <w:szCs w:val="30"/>
          <w:highlight w:val="none"/>
        </w:rPr>
        <w:t xml:space="preserve">5、 </w:t>
      </w:r>
      <w:r>
        <w:rPr>
          <w:rFonts w:hint="eastAsia" w:ascii="宋体" w:hAnsi="宋体" w:eastAsia="宋体" w:cs="宋体"/>
          <w:szCs w:val="30"/>
          <w:highlight w:val="none"/>
          <w:lang w:val="en-US" w:eastAsia="zh-CN"/>
        </w:rPr>
        <w:t>申报记录查看</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_Toc4430 </w:instrText>
      </w:r>
      <w:r>
        <w:rPr>
          <w:rFonts w:hint="eastAsia" w:ascii="宋体" w:hAnsi="宋体" w:eastAsia="宋体" w:cs="宋体"/>
          <w:highlight w:val="none"/>
        </w:rPr>
        <w:fldChar w:fldCharType="separate"/>
      </w:r>
      <w:r>
        <w:rPr>
          <w:rFonts w:hint="eastAsia" w:ascii="宋体" w:hAnsi="宋体" w:eastAsia="宋体" w:cs="宋体"/>
          <w:highlight w:val="none"/>
        </w:rPr>
        <w:t>14</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pPr>
        <w:pStyle w:val="10"/>
        <w:tabs>
          <w:tab w:val="right" w:leader="dot" w:pos="8306"/>
        </w:tabs>
        <w:spacing w:line="240" w:lineRule="auto"/>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_Toc26774 </w:instrText>
      </w:r>
      <w:r>
        <w:rPr>
          <w:rFonts w:hint="eastAsia" w:ascii="宋体" w:hAnsi="宋体" w:eastAsia="宋体" w:cs="宋体"/>
          <w:highlight w:val="none"/>
        </w:rPr>
        <w:fldChar w:fldCharType="separate"/>
      </w:r>
      <w:r>
        <w:rPr>
          <w:rFonts w:hint="eastAsia" w:ascii="宋体" w:hAnsi="宋体" w:eastAsia="宋体" w:cs="宋体"/>
          <w:szCs w:val="30"/>
          <w:highlight w:val="none"/>
        </w:rPr>
        <w:t xml:space="preserve">6、 </w:t>
      </w:r>
      <w:r>
        <w:rPr>
          <w:rFonts w:hint="eastAsia" w:ascii="宋体" w:hAnsi="宋体" w:eastAsia="宋体" w:cs="宋体"/>
          <w:szCs w:val="30"/>
          <w:highlight w:val="none"/>
          <w:lang w:val="en-US" w:eastAsia="zh-CN"/>
        </w:rPr>
        <w:t>申报书导出</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_Toc26774 </w:instrText>
      </w:r>
      <w:r>
        <w:rPr>
          <w:rFonts w:hint="eastAsia" w:ascii="宋体" w:hAnsi="宋体" w:eastAsia="宋体" w:cs="宋体"/>
          <w:highlight w:val="none"/>
        </w:rPr>
        <w:fldChar w:fldCharType="separate"/>
      </w:r>
      <w:r>
        <w:rPr>
          <w:rFonts w:hint="eastAsia" w:ascii="宋体" w:hAnsi="宋体" w:eastAsia="宋体" w:cs="宋体"/>
          <w:highlight w:val="none"/>
        </w:rPr>
        <w:t>14</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pPr>
        <w:pStyle w:val="9"/>
        <w:tabs>
          <w:tab w:val="right" w:leader="dot" w:pos="8306"/>
        </w:tabs>
        <w:spacing w:line="240" w:lineRule="auto"/>
        <w:rPr>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_Toc10614 </w:instrText>
      </w:r>
      <w:r>
        <w:rPr>
          <w:rFonts w:hint="eastAsia" w:ascii="宋体" w:hAnsi="宋体" w:eastAsia="宋体" w:cs="宋体"/>
          <w:highlight w:val="none"/>
        </w:rPr>
        <w:fldChar w:fldCharType="separate"/>
      </w:r>
      <w:r>
        <w:rPr>
          <w:rFonts w:hint="eastAsia" w:ascii="宋体" w:hAnsi="宋体" w:eastAsia="宋体" w:cs="宋体"/>
          <w:szCs w:val="30"/>
          <w:highlight w:val="none"/>
        </w:rPr>
        <w:t>三、 系统技术支持</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_Toc10614 </w:instrText>
      </w:r>
      <w:r>
        <w:rPr>
          <w:rFonts w:hint="eastAsia" w:ascii="宋体" w:hAnsi="宋体" w:eastAsia="宋体" w:cs="宋体"/>
          <w:highlight w:val="none"/>
        </w:rPr>
        <w:fldChar w:fldCharType="separate"/>
      </w:r>
      <w:r>
        <w:rPr>
          <w:rFonts w:hint="eastAsia" w:ascii="宋体" w:hAnsi="宋体" w:eastAsia="宋体" w:cs="宋体"/>
          <w:highlight w:val="none"/>
        </w:rPr>
        <w:t>15</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pPr>
        <w:pStyle w:val="9"/>
        <w:tabs>
          <w:tab w:val="right" w:leader="dot" w:pos="8306"/>
        </w:tabs>
        <w:spacing w:before="156" w:after="156" w:line="240" w:lineRule="auto"/>
        <w:ind w:firstLine="560"/>
        <w:jc w:val="center"/>
        <w:rPr>
          <w:rFonts w:ascii="宋体" w:hAnsi="宋体" w:eastAsia="宋体" w:cs="宋体"/>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highlight w:val="yellow"/>
        </w:rPr>
        <w:fldChar w:fldCharType="end"/>
      </w:r>
    </w:p>
    <w:p>
      <w:pPr>
        <w:pStyle w:val="2"/>
        <w:numPr>
          <w:ilvl w:val="0"/>
          <w:numId w:val="1"/>
        </w:numPr>
        <w:spacing w:before="156" w:after="156" w:line="360" w:lineRule="auto"/>
        <w:ind w:firstLine="0" w:firstLineChars="0"/>
        <w:rPr>
          <w:rFonts w:ascii="微软雅黑" w:hAnsi="微软雅黑" w:eastAsia="微软雅黑"/>
          <w:sz w:val="30"/>
          <w:szCs w:val="30"/>
          <w:highlight w:val="none"/>
        </w:rPr>
      </w:pPr>
      <w:bookmarkStart w:id="4" w:name="_Toc2112"/>
      <w:r>
        <w:rPr>
          <w:rFonts w:hint="eastAsia" w:ascii="微软雅黑" w:hAnsi="微软雅黑" w:eastAsia="微软雅黑"/>
          <w:sz w:val="30"/>
          <w:szCs w:val="30"/>
          <w:highlight w:val="none"/>
          <w:lang w:val="en-US" w:eastAsia="zh-CN"/>
        </w:rPr>
        <w:t>系统登录</w:t>
      </w:r>
      <w:bookmarkEnd w:id="4"/>
    </w:p>
    <w:p>
      <w:pPr>
        <w:spacing w:before="156" w:after="156"/>
        <w:ind w:firstLine="480"/>
        <w:rPr>
          <w:rFonts w:hint="eastAsia"/>
          <w:highlight w:val="none"/>
        </w:rPr>
      </w:pPr>
      <w:r>
        <w:rPr>
          <w:rFonts w:hint="eastAsia" w:asciiTheme="minorEastAsia" w:hAnsiTheme="minorEastAsia" w:cstheme="minorEastAsia"/>
          <w:highlight w:val="none"/>
          <w:lang w:val="en-US" w:eastAsia="zh-CN"/>
        </w:rPr>
        <w:t>访问</w:t>
      </w:r>
      <w:r>
        <w:rPr>
          <w:rFonts w:hint="eastAsia" w:asciiTheme="minorEastAsia" w:hAnsiTheme="minorEastAsia" w:cstheme="minorEastAsia"/>
          <w:highlight w:val="none"/>
        </w:rPr>
        <w:t>地址：</w:t>
      </w:r>
      <w:r>
        <w:rPr>
          <w:rFonts w:hint="eastAsia"/>
          <w:highlight w:val="none"/>
        </w:rPr>
        <w:t>http://one.sipac.gov.cn</w:t>
      </w:r>
    </w:p>
    <w:p>
      <w:pPr>
        <w:spacing w:before="156" w:after="156"/>
        <w:ind w:firstLine="480"/>
        <w:rPr>
          <w:rFonts w:hint="eastAsia" w:asciiTheme="minorEastAsia" w:hAnsiTheme="minorEastAsia" w:cstheme="minorEastAsia"/>
          <w:highlight w:val="none"/>
          <w:lang w:val="en-US" w:eastAsia="zh-CN"/>
        </w:rPr>
      </w:pPr>
      <w:r>
        <w:rPr>
          <w:rFonts w:hint="eastAsia" w:asciiTheme="minorEastAsia" w:hAnsiTheme="minorEastAsia" w:cstheme="minorEastAsia"/>
          <w:highlight w:val="none"/>
          <w:lang w:val="en-US" w:eastAsia="zh-CN"/>
        </w:rPr>
        <w:t>申报单位</w:t>
      </w:r>
      <w:r>
        <w:rPr>
          <w:rFonts w:hint="eastAsia" w:asciiTheme="minorEastAsia" w:hAnsiTheme="minorEastAsia" w:cstheme="minorEastAsia"/>
          <w:highlight w:val="none"/>
        </w:rPr>
        <w:t>登录</w:t>
      </w:r>
      <w:r>
        <w:rPr>
          <w:b/>
          <w:bCs/>
          <w:highlight w:val="none"/>
        </w:rPr>
        <w:fldChar w:fldCharType="begin"/>
      </w:r>
      <w:r>
        <w:rPr>
          <w:b/>
          <w:bCs/>
          <w:highlight w:val="none"/>
        </w:rPr>
        <w:instrText xml:space="preserve"> HYPERLINK "http://sme.sipac.gov.cn/" </w:instrText>
      </w:r>
      <w:r>
        <w:rPr>
          <w:b/>
          <w:bCs/>
          <w:highlight w:val="none"/>
        </w:rPr>
        <w:fldChar w:fldCharType="separate"/>
      </w:r>
      <w:r>
        <w:rPr>
          <w:rFonts w:hint="eastAsia" w:asciiTheme="minorEastAsia" w:hAnsiTheme="minorEastAsia" w:cstheme="minorEastAsia"/>
          <w:b/>
          <w:bCs/>
          <w:highlight w:val="none"/>
        </w:rPr>
        <w:t>苏州工业园区</w:t>
      </w:r>
      <w:r>
        <w:rPr>
          <w:rFonts w:hint="eastAsia" w:asciiTheme="minorEastAsia" w:hAnsiTheme="minorEastAsia" w:cstheme="minorEastAsia"/>
          <w:b/>
          <w:bCs/>
          <w:highlight w:val="none"/>
          <w:lang w:val="en-US" w:eastAsia="zh-CN"/>
        </w:rPr>
        <w:t>管理委员</w:t>
      </w:r>
      <w:r>
        <w:rPr>
          <w:rFonts w:hint="eastAsia" w:asciiTheme="minorEastAsia" w:hAnsiTheme="minorEastAsia" w:cstheme="minorEastAsia"/>
          <w:b/>
          <w:bCs/>
          <w:highlight w:val="none"/>
        </w:rPr>
        <w:t>网站</w:t>
      </w:r>
      <w:r>
        <w:rPr>
          <w:rFonts w:hint="eastAsia" w:asciiTheme="minorEastAsia" w:hAnsiTheme="minorEastAsia" w:cstheme="minorEastAsia"/>
          <w:b/>
          <w:bCs/>
          <w:highlight w:val="none"/>
        </w:rPr>
        <w:fldChar w:fldCharType="end"/>
      </w:r>
      <w:r>
        <w:rPr>
          <w:rFonts w:hint="eastAsia" w:asciiTheme="minorEastAsia" w:hAnsiTheme="minorEastAsia" w:cstheme="minorEastAsia"/>
          <w:b/>
          <w:bCs/>
          <w:highlight w:val="none"/>
          <w:lang w:val="en-US" w:eastAsia="zh-CN"/>
        </w:rPr>
        <w:t>-“一网通办”</w:t>
      </w:r>
      <w:r>
        <w:rPr>
          <w:rFonts w:hint="eastAsia" w:asciiTheme="minorEastAsia" w:hAnsiTheme="minorEastAsia" w:cstheme="minorEastAsia"/>
          <w:highlight w:val="none"/>
        </w:rPr>
        <w:t>。</w:t>
      </w:r>
      <w:r>
        <w:rPr>
          <w:rFonts w:hint="eastAsia"/>
          <w:lang w:val="en-US" w:eastAsia="zh-CN"/>
        </w:rPr>
        <w:t>在</w:t>
      </w:r>
      <w:r>
        <w:rPr>
          <w:rFonts w:hint="eastAsia" w:asciiTheme="minorEastAsia" w:hAnsiTheme="minorEastAsia" w:cstheme="minorEastAsia"/>
          <w:highlight w:val="none"/>
        </w:rPr>
        <w:t>“</w:t>
      </w:r>
      <w:r>
        <w:rPr>
          <w:rFonts w:hint="eastAsia" w:asciiTheme="minorEastAsia" w:hAnsiTheme="minorEastAsia" w:cstheme="minorEastAsia"/>
          <w:highlight w:val="none"/>
          <w:lang w:val="en-US" w:eastAsia="zh-CN"/>
        </w:rPr>
        <w:t>一网通办</w:t>
      </w:r>
      <w:r>
        <w:rPr>
          <w:rFonts w:hint="eastAsia" w:asciiTheme="minorEastAsia" w:hAnsiTheme="minorEastAsia" w:cstheme="minorEastAsia"/>
          <w:highlight w:val="none"/>
        </w:rPr>
        <w:t>”</w:t>
      </w:r>
      <w:r>
        <w:rPr>
          <w:rFonts w:hint="eastAsia" w:asciiTheme="minorEastAsia" w:hAnsiTheme="minorEastAsia" w:cstheme="minorEastAsia"/>
          <w:highlight w:val="none"/>
          <w:lang w:val="en-US" w:eastAsia="zh-CN"/>
        </w:rPr>
        <w:t>首页右上角，选择“登录”-“法人用户”，使用企业名称、用户名、密码、验证码进行登录。</w:t>
      </w:r>
    </w:p>
    <w:p>
      <w:pPr>
        <w:spacing w:before="156" w:after="156"/>
        <w:ind w:left="0" w:leftChars="0" w:firstLine="0" w:firstLineChars="0"/>
      </w:pPr>
      <w:r>
        <w:drawing>
          <wp:inline distT="0" distB="0" distL="114300" distR="114300">
            <wp:extent cx="5272405" cy="2059305"/>
            <wp:effectExtent l="12700" t="12700" r="23495" b="2349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5272405" cy="2059305"/>
                    </a:xfrm>
                    <a:prstGeom prst="rect">
                      <a:avLst/>
                    </a:prstGeom>
                    <a:noFill/>
                    <a:ln w="12700" cmpd="sng">
                      <a:solidFill>
                        <a:schemeClr val="bg1">
                          <a:lumMod val="75000"/>
                        </a:schemeClr>
                      </a:solidFill>
                      <a:prstDash val="solid"/>
                    </a:ln>
                  </pic:spPr>
                </pic:pic>
              </a:graphicData>
            </a:graphic>
          </wp:inline>
        </w:drawing>
      </w:r>
    </w:p>
    <w:p>
      <w:pPr>
        <w:spacing w:before="156" w:after="156"/>
        <w:ind w:left="0" w:leftChars="0" w:firstLine="0" w:firstLineChars="0"/>
      </w:pPr>
      <w:r>
        <w:drawing>
          <wp:inline distT="0" distB="0" distL="114300" distR="114300">
            <wp:extent cx="5264785" cy="2651760"/>
            <wp:effectExtent l="12700" t="12700" r="18415" b="1524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7"/>
                    <a:stretch>
                      <a:fillRect/>
                    </a:stretch>
                  </pic:blipFill>
                  <pic:spPr>
                    <a:xfrm>
                      <a:off x="0" y="0"/>
                      <a:ext cx="5264785" cy="2651760"/>
                    </a:xfrm>
                    <a:prstGeom prst="rect">
                      <a:avLst/>
                    </a:prstGeom>
                    <a:noFill/>
                    <a:ln w="12700" cmpd="sng">
                      <a:solidFill>
                        <a:schemeClr val="bg1">
                          <a:lumMod val="75000"/>
                        </a:schemeClr>
                      </a:solidFill>
                      <a:prstDash val="solid"/>
                    </a:ln>
                  </pic:spPr>
                </pic:pic>
              </a:graphicData>
            </a:graphic>
          </wp:inline>
        </w:drawing>
      </w:r>
    </w:p>
    <w:p>
      <w:pPr>
        <w:spacing w:before="156" w:after="156"/>
        <w:ind w:left="0" w:leftChars="0" w:firstLine="420" w:firstLineChars="0"/>
        <w:rPr>
          <w:rFonts w:hint="eastAsia" w:asciiTheme="minorEastAsia" w:hAnsiTheme="minorEastAsia" w:cstheme="minorEastAsia"/>
          <w:highlight w:val="none"/>
          <w:lang w:val="en-US" w:eastAsia="zh-CN"/>
        </w:rPr>
      </w:pPr>
      <w:r>
        <w:rPr>
          <w:rFonts w:hint="eastAsia" w:asciiTheme="minorEastAsia" w:hAnsiTheme="minorEastAsia" w:cstheme="minorEastAsia"/>
          <w:highlight w:val="none"/>
          <w:lang w:val="en-US" w:eastAsia="zh-CN"/>
        </w:rPr>
        <w:t>若申报单位尚未开通一网通办企业用户账号，可选择“注册”-“法人注册”进行成功注册后登录。注册登录如有问题，请联系一网通办技术支持咨询：0512-66680236、信箱one@sipac.gov.cn。</w:t>
      </w:r>
    </w:p>
    <w:p>
      <w:pPr>
        <w:spacing w:before="156" w:after="156"/>
        <w:ind w:firstLine="420" w:firstLineChars="0"/>
        <w:rPr>
          <w:rFonts w:hint="eastAsia"/>
          <w:color w:val="auto"/>
          <w:highlight w:val="none"/>
        </w:rPr>
      </w:pPr>
      <w:r>
        <w:rPr>
          <w:rFonts w:hint="eastAsia"/>
          <w:color w:val="auto"/>
          <w:highlight w:val="none"/>
        </w:rPr>
        <w:t>在网站首页</w:t>
      </w:r>
      <w:r>
        <w:rPr>
          <w:rFonts w:hint="eastAsia"/>
          <w:color w:val="auto"/>
          <w:highlight w:val="none"/>
          <w:lang w:val="en-US" w:eastAsia="zh-CN"/>
        </w:rPr>
        <w:t>-特色创新中</w:t>
      </w:r>
      <w:r>
        <w:rPr>
          <w:rFonts w:hint="eastAsia"/>
          <w:color w:val="auto"/>
          <w:highlight w:val="none"/>
        </w:rPr>
        <w:t>找到</w:t>
      </w:r>
      <w:r>
        <w:rPr>
          <w:rFonts w:hint="eastAsia"/>
          <w:b/>
          <w:bCs/>
          <w:color w:val="auto"/>
          <w:highlight w:val="none"/>
        </w:rPr>
        <w:t>苏州工业园区20</w:t>
      </w:r>
      <w:r>
        <w:rPr>
          <w:rFonts w:hint="eastAsia"/>
          <w:b/>
          <w:bCs/>
          <w:color w:val="auto"/>
          <w:highlight w:val="none"/>
          <w:lang w:val="en-US" w:eastAsia="zh-CN"/>
        </w:rPr>
        <w:t>20</w:t>
      </w:r>
      <w:r>
        <w:rPr>
          <w:rFonts w:hint="eastAsia"/>
          <w:b/>
          <w:bCs/>
          <w:color w:val="auto"/>
          <w:highlight w:val="none"/>
        </w:rPr>
        <w:t>年“金鸡湖人才计划”申报入口</w:t>
      </w:r>
      <w:r>
        <w:rPr>
          <w:rFonts w:hint="eastAsia"/>
          <w:color w:val="auto"/>
          <w:highlight w:val="none"/>
        </w:rPr>
        <w:t>，点击进入金鸡湖人才计划事项办理指引页面。</w:t>
      </w:r>
    </w:p>
    <w:p>
      <w:pPr>
        <w:spacing w:before="156" w:after="156"/>
        <w:ind w:left="0" w:leftChars="0" w:firstLine="0" w:firstLineChars="0"/>
        <w:rPr>
          <w:rFonts w:hint="eastAsia"/>
          <w:color w:val="auto"/>
          <w:highlight w:val="none"/>
        </w:rPr>
      </w:pPr>
      <w:r>
        <w:drawing>
          <wp:inline distT="0" distB="0" distL="114300" distR="114300">
            <wp:extent cx="5269865" cy="3128010"/>
            <wp:effectExtent l="12700" t="12700" r="13335" b="2159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8"/>
                    <a:stretch>
                      <a:fillRect/>
                    </a:stretch>
                  </pic:blipFill>
                  <pic:spPr>
                    <a:xfrm>
                      <a:off x="0" y="0"/>
                      <a:ext cx="5269865" cy="3128010"/>
                    </a:xfrm>
                    <a:prstGeom prst="rect">
                      <a:avLst/>
                    </a:prstGeom>
                    <a:noFill/>
                    <a:ln w="12700" cmpd="sng">
                      <a:solidFill>
                        <a:schemeClr val="bg1">
                          <a:lumMod val="75000"/>
                        </a:schemeClr>
                      </a:solidFill>
                      <a:prstDash val="solid"/>
                    </a:ln>
                  </pic:spPr>
                </pic:pic>
              </a:graphicData>
            </a:graphic>
          </wp:inline>
        </w:drawing>
      </w:r>
    </w:p>
    <w:p>
      <w:pPr>
        <w:spacing w:before="156" w:after="156"/>
        <w:ind w:firstLine="0" w:firstLineChars="0"/>
        <w:jc w:val="left"/>
      </w:pPr>
      <w:r>
        <w:drawing>
          <wp:inline distT="0" distB="0" distL="114300" distR="114300">
            <wp:extent cx="5266055" cy="2521585"/>
            <wp:effectExtent l="12700" t="12700" r="17145" b="1841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9"/>
                    <a:stretch>
                      <a:fillRect/>
                    </a:stretch>
                  </pic:blipFill>
                  <pic:spPr>
                    <a:xfrm>
                      <a:off x="0" y="0"/>
                      <a:ext cx="5266055" cy="2521585"/>
                    </a:xfrm>
                    <a:prstGeom prst="rect">
                      <a:avLst/>
                    </a:prstGeom>
                    <a:noFill/>
                    <a:ln w="12700" cmpd="sng">
                      <a:solidFill>
                        <a:schemeClr val="bg1">
                          <a:lumMod val="75000"/>
                        </a:schemeClr>
                      </a:solidFill>
                      <a:prstDash val="solid"/>
                    </a:ln>
                  </pic:spPr>
                </pic:pic>
              </a:graphicData>
            </a:graphic>
          </wp:inline>
        </w:drawing>
      </w:r>
    </w:p>
    <w:p>
      <w:pPr>
        <w:spacing w:before="156" w:after="156"/>
        <w:ind w:firstLine="420" w:firstLineChars="0"/>
        <w:jc w:val="left"/>
      </w:pPr>
      <w:r>
        <w:rPr>
          <w:rFonts w:hint="eastAsia"/>
        </w:rPr>
        <w:t>对业务事项办理指引了解后，申报单位可点击“在线办理”，进入金鸡湖人才业务申报系统。</w:t>
      </w:r>
    </w:p>
    <w:p>
      <w:pPr>
        <w:spacing w:before="156" w:after="156"/>
        <w:ind w:firstLine="0" w:firstLineChars="0"/>
        <w:jc w:val="left"/>
        <w:rPr>
          <w:rFonts w:hint="eastAsia" w:eastAsiaTheme="minorEastAsia"/>
          <w:lang w:eastAsia="zh-CN"/>
        </w:rPr>
      </w:pPr>
      <w:r>
        <w:rPr>
          <w:rFonts w:hint="eastAsia" w:eastAsiaTheme="minorEastAsia"/>
          <w:lang w:eastAsia="zh-CN"/>
        </w:rPr>
        <w:drawing>
          <wp:inline distT="0" distB="0" distL="114300" distR="114300">
            <wp:extent cx="5269865" cy="5252720"/>
            <wp:effectExtent l="12700" t="12700" r="13335" b="17780"/>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20"/>
                    <a:srcRect t="8859" b="16206"/>
                    <a:stretch>
                      <a:fillRect/>
                    </a:stretch>
                  </pic:blipFill>
                  <pic:spPr>
                    <a:xfrm>
                      <a:off x="0" y="0"/>
                      <a:ext cx="5269865" cy="5252720"/>
                    </a:xfrm>
                    <a:prstGeom prst="rect">
                      <a:avLst/>
                    </a:prstGeom>
                    <a:noFill/>
                    <a:ln w="12700" cmpd="sng">
                      <a:solidFill>
                        <a:schemeClr val="bg1">
                          <a:lumMod val="75000"/>
                        </a:schemeClr>
                      </a:solidFill>
                      <a:prstDash val="solid"/>
                    </a:ln>
                  </pic:spPr>
                </pic:pic>
              </a:graphicData>
            </a:graphic>
          </wp:inline>
        </w:drawing>
      </w:r>
    </w:p>
    <w:p>
      <w:pPr>
        <w:pStyle w:val="2"/>
        <w:numPr>
          <w:ilvl w:val="0"/>
          <w:numId w:val="1"/>
        </w:numPr>
        <w:spacing w:before="156" w:after="156" w:line="360" w:lineRule="auto"/>
        <w:ind w:firstLine="0" w:firstLineChars="0"/>
        <w:rPr>
          <w:rFonts w:ascii="微软雅黑" w:hAnsi="微软雅黑" w:eastAsia="微软雅黑"/>
          <w:sz w:val="30"/>
          <w:szCs w:val="30"/>
          <w:highlight w:val="none"/>
        </w:rPr>
      </w:pPr>
      <w:bookmarkStart w:id="5" w:name="_Toc21547"/>
      <w:r>
        <w:rPr>
          <w:rFonts w:hint="eastAsia" w:ascii="微软雅黑" w:hAnsi="微软雅黑" w:eastAsia="微软雅黑"/>
          <w:sz w:val="30"/>
          <w:szCs w:val="30"/>
          <w:highlight w:val="none"/>
        </w:rPr>
        <w:t>操作步骤</w:t>
      </w:r>
      <w:bookmarkEnd w:id="5"/>
    </w:p>
    <w:p>
      <w:pPr>
        <w:pStyle w:val="3"/>
        <w:numPr>
          <w:ilvl w:val="0"/>
          <w:numId w:val="2"/>
        </w:numPr>
        <w:spacing w:before="156" w:after="156" w:line="360" w:lineRule="auto"/>
        <w:ind w:firstLine="0" w:firstLineChars="0"/>
        <w:rPr>
          <w:rFonts w:hint="eastAsia" w:ascii="微软雅黑" w:hAnsi="微软雅黑" w:eastAsia="微软雅黑"/>
          <w:sz w:val="30"/>
          <w:szCs w:val="30"/>
          <w:highlight w:val="none"/>
        </w:rPr>
      </w:pPr>
      <w:bookmarkStart w:id="6" w:name="_Toc1570"/>
      <w:r>
        <w:rPr>
          <w:rFonts w:hint="eastAsia" w:ascii="微软雅黑" w:hAnsi="微软雅黑" w:eastAsia="微软雅黑"/>
          <w:sz w:val="30"/>
          <w:szCs w:val="30"/>
          <w:highlight w:val="none"/>
          <w:lang w:val="en-US" w:eastAsia="zh-CN"/>
        </w:rPr>
        <w:t>申报首页</w:t>
      </w:r>
      <w:bookmarkEnd w:id="6"/>
    </w:p>
    <w:p>
      <w:pPr>
        <w:numPr>
          <w:ilvl w:val="0"/>
          <w:numId w:val="0"/>
        </w:numPr>
        <w:ind w:left="0" w:leftChars="0" w:firstLine="420" w:firstLineChars="0"/>
        <w:rPr>
          <w:rFonts w:hint="eastAsia" w:asciiTheme="minorEastAsia" w:hAnsiTheme="minorEastAsia" w:cstheme="minorEastAsia"/>
          <w:highlight w:val="none"/>
          <w:lang w:val="en-US" w:eastAsia="zh-CN"/>
        </w:rPr>
      </w:pPr>
      <w:r>
        <w:rPr>
          <w:rFonts w:hint="eastAsia" w:asciiTheme="minorEastAsia" w:hAnsiTheme="minorEastAsia" w:cstheme="minorEastAsia"/>
          <w:highlight w:val="none"/>
          <w:lang w:val="en-US" w:eastAsia="zh-CN"/>
        </w:rPr>
        <w:t>在2020年园区金鸡湖人才申报首页，申报单位可查看的内容包括申报概况、申报入口、业务咨询3部分信息以及申报记录入口。</w:t>
      </w:r>
    </w:p>
    <w:p>
      <w:pPr>
        <w:ind w:left="0" w:leftChars="0" w:firstLine="0" w:firstLineChars="0"/>
        <w:jc w:val="left"/>
        <w:rPr>
          <w:rFonts w:hint="eastAsia" w:asciiTheme="minorEastAsia" w:hAnsiTheme="minorEastAsia" w:cstheme="minorEastAsia"/>
          <w:highlight w:val="none"/>
          <w:lang w:val="en-US" w:eastAsia="zh-CN"/>
        </w:rPr>
      </w:pPr>
      <w:r>
        <w:rPr>
          <w:rFonts w:hint="eastAsia" w:asciiTheme="minorEastAsia" w:hAnsiTheme="minorEastAsia" w:cstheme="minorEastAsia"/>
          <w:highlight w:val="none"/>
          <w:lang w:val="en-US" w:eastAsia="zh-CN"/>
        </w:rPr>
        <w:drawing>
          <wp:inline distT="0" distB="0" distL="114300" distR="114300">
            <wp:extent cx="5266690" cy="6841490"/>
            <wp:effectExtent l="12700" t="12700" r="16510" b="16510"/>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21"/>
                    <a:srcRect t="4066" b="8148"/>
                    <a:stretch>
                      <a:fillRect/>
                    </a:stretch>
                  </pic:blipFill>
                  <pic:spPr>
                    <a:xfrm>
                      <a:off x="0" y="0"/>
                      <a:ext cx="5266690" cy="6841490"/>
                    </a:xfrm>
                    <a:prstGeom prst="rect">
                      <a:avLst/>
                    </a:prstGeom>
                    <a:noFill/>
                    <a:ln w="12700" cmpd="sng">
                      <a:solidFill>
                        <a:schemeClr val="bg1">
                          <a:lumMod val="75000"/>
                        </a:schemeClr>
                      </a:solidFill>
                      <a:prstDash val="solid"/>
                    </a:ln>
                  </pic:spPr>
                </pic:pic>
              </a:graphicData>
            </a:graphic>
          </wp:inline>
        </w:drawing>
      </w:r>
    </w:p>
    <w:p>
      <w:pPr>
        <w:numPr>
          <w:ilvl w:val="0"/>
          <w:numId w:val="3"/>
        </w:numPr>
        <w:ind w:left="420" w:leftChars="0" w:hanging="420" w:firstLineChars="0"/>
        <w:jc w:val="left"/>
        <w:rPr>
          <w:rFonts w:hint="eastAsia" w:asciiTheme="minorEastAsia" w:hAnsiTheme="minorEastAsia" w:cstheme="minorEastAsia"/>
          <w:highlight w:val="none"/>
          <w:lang w:val="en-US" w:eastAsia="zh-CN"/>
        </w:rPr>
      </w:pPr>
      <w:r>
        <w:rPr>
          <w:rFonts w:hint="eastAsia" w:asciiTheme="minorEastAsia" w:hAnsiTheme="minorEastAsia" w:cstheme="minorEastAsia"/>
          <w:highlight w:val="none"/>
          <w:lang w:val="en-US" w:eastAsia="zh-CN"/>
        </w:rPr>
        <w:t>申报入口</w:t>
      </w:r>
    </w:p>
    <w:p>
      <w:pPr>
        <w:numPr>
          <w:ilvl w:val="0"/>
          <w:numId w:val="0"/>
        </w:numPr>
        <w:ind w:leftChars="0" w:firstLine="420" w:firstLineChars="0"/>
        <w:jc w:val="left"/>
        <w:rPr>
          <w:rFonts w:hint="eastAsia" w:asciiTheme="minorEastAsia" w:hAnsiTheme="minorEastAsia" w:cstheme="minorEastAsia"/>
          <w:highlight w:val="none"/>
          <w:lang w:val="en-US" w:eastAsia="zh-CN"/>
        </w:rPr>
      </w:pPr>
      <w:r>
        <w:rPr>
          <w:rFonts w:hint="eastAsia" w:asciiTheme="minorEastAsia" w:hAnsiTheme="minorEastAsia" w:cstheme="minorEastAsia"/>
          <w:highlight w:val="none"/>
          <w:lang w:val="en-US" w:eastAsia="zh-CN"/>
        </w:rPr>
        <w:t>申报单位可根据实际情况，在申报入口中选择需要申报的业务类型进入进行内容的填写。</w:t>
      </w:r>
    </w:p>
    <w:p>
      <w:pPr>
        <w:ind w:left="0" w:leftChars="0" w:firstLine="420" w:firstLineChars="0"/>
        <w:jc w:val="left"/>
        <w:rPr>
          <w:rFonts w:hint="eastAsia" w:asciiTheme="minorEastAsia" w:hAnsiTheme="minorEastAsia" w:cstheme="minorEastAsia"/>
          <w:highlight w:val="none"/>
          <w:lang w:val="en-US" w:eastAsia="zh-CN"/>
        </w:rPr>
      </w:pPr>
      <w:r>
        <w:rPr>
          <w:rFonts w:hint="eastAsia" w:asciiTheme="minorEastAsia" w:hAnsiTheme="minorEastAsia" w:cstheme="minorEastAsia"/>
          <w:highlight w:val="none"/>
          <w:lang w:val="en-US" w:eastAsia="zh-CN"/>
        </w:rPr>
        <w:t>本次可选择的业务类型包括：金鸡湖高层次人才、金鸡湖科教人才、金鸡湖高端服务业人才、金鸡湖高技能人才、金鸡湖卫生人才。</w:t>
      </w:r>
    </w:p>
    <w:p>
      <w:pPr>
        <w:ind w:left="0" w:leftChars="0" w:firstLine="420" w:firstLineChars="0"/>
        <w:jc w:val="left"/>
        <w:rPr>
          <w:rFonts w:hint="eastAsia" w:asciiTheme="minorEastAsia" w:hAnsiTheme="minorEastAsia" w:cstheme="minorEastAsia"/>
          <w:highlight w:val="none"/>
          <w:lang w:val="en-US" w:eastAsia="zh-CN"/>
        </w:rPr>
      </w:pPr>
      <w:r>
        <w:rPr>
          <w:rFonts w:hint="eastAsia" w:asciiTheme="minorEastAsia" w:hAnsiTheme="minorEastAsia" w:cstheme="minorEastAsia"/>
          <w:highlight w:val="none"/>
          <w:lang w:val="en-US" w:eastAsia="zh-CN"/>
        </w:rPr>
        <w:t>其中，金鸡湖科技领军人才和金鸡湖教育人才分别由科信局和教育局另行通知，不在本次申报范围中。</w:t>
      </w:r>
    </w:p>
    <w:p>
      <w:pPr>
        <w:numPr>
          <w:ilvl w:val="0"/>
          <w:numId w:val="3"/>
        </w:numPr>
        <w:ind w:left="420" w:leftChars="0" w:hanging="420" w:firstLineChars="0"/>
        <w:jc w:val="left"/>
        <w:rPr>
          <w:rFonts w:hint="eastAsia" w:asciiTheme="minorEastAsia" w:hAnsiTheme="minorEastAsia" w:cstheme="minorEastAsia"/>
          <w:highlight w:val="none"/>
          <w:lang w:val="en-US" w:eastAsia="zh-CN"/>
        </w:rPr>
      </w:pPr>
      <w:r>
        <w:rPr>
          <w:rFonts w:hint="eastAsia" w:asciiTheme="minorEastAsia" w:hAnsiTheme="minorEastAsia" w:cstheme="minorEastAsia"/>
          <w:highlight w:val="none"/>
          <w:lang w:val="en-US" w:eastAsia="zh-CN"/>
        </w:rPr>
        <w:t>申报记录：</w:t>
      </w:r>
    </w:p>
    <w:p>
      <w:pPr>
        <w:numPr>
          <w:ilvl w:val="0"/>
          <w:numId w:val="0"/>
        </w:numPr>
        <w:ind w:leftChars="0" w:firstLine="420" w:firstLineChars="0"/>
        <w:jc w:val="left"/>
        <w:rPr>
          <w:rFonts w:hint="eastAsia" w:asciiTheme="minorEastAsia" w:hAnsiTheme="minorEastAsia" w:cstheme="minorEastAsia"/>
          <w:highlight w:val="none"/>
          <w:lang w:val="en-US" w:eastAsia="zh-CN"/>
        </w:rPr>
      </w:pPr>
      <w:r>
        <w:rPr>
          <w:rFonts w:hint="eastAsia" w:asciiTheme="minorEastAsia" w:hAnsiTheme="minorEastAsia" w:cstheme="minorEastAsia"/>
          <w:highlight w:val="none"/>
          <w:lang w:val="en-US" w:eastAsia="zh-CN"/>
        </w:rPr>
        <w:t>点击“申报记录”即可进入历史申报记录页面查看已保存、已提交等状态的申报信息。</w:t>
      </w:r>
    </w:p>
    <w:p>
      <w:pPr>
        <w:pStyle w:val="3"/>
        <w:numPr>
          <w:ilvl w:val="0"/>
          <w:numId w:val="2"/>
        </w:numPr>
        <w:spacing w:before="156" w:after="156" w:line="360" w:lineRule="auto"/>
        <w:ind w:firstLine="0" w:firstLineChars="0"/>
        <w:rPr>
          <w:rFonts w:hint="eastAsia" w:ascii="微软雅黑" w:hAnsi="微软雅黑" w:eastAsia="微软雅黑"/>
          <w:sz w:val="30"/>
          <w:szCs w:val="30"/>
          <w:highlight w:val="none"/>
        </w:rPr>
      </w:pPr>
      <w:bookmarkStart w:id="7" w:name="_Toc28613"/>
      <w:r>
        <w:rPr>
          <w:rFonts w:hint="eastAsia" w:ascii="微软雅黑" w:hAnsi="微软雅黑" w:eastAsia="微软雅黑"/>
          <w:sz w:val="30"/>
          <w:szCs w:val="30"/>
          <w:highlight w:val="none"/>
          <w:lang w:val="en-US" w:eastAsia="zh-CN"/>
        </w:rPr>
        <w:t>申报类型选择</w:t>
      </w:r>
      <w:bookmarkEnd w:id="7"/>
    </w:p>
    <w:p>
      <w:pPr>
        <w:ind w:left="0" w:leftChars="0" w:firstLine="420" w:firstLineChars="0"/>
        <w:jc w:val="left"/>
        <w:rPr>
          <w:rFonts w:hint="default" w:asciiTheme="minorEastAsia" w:hAnsiTheme="minorEastAsia" w:cstheme="minorEastAsia"/>
          <w:highlight w:val="none"/>
          <w:lang w:val="en-US" w:eastAsia="zh-CN"/>
        </w:rPr>
      </w:pPr>
      <w:r>
        <w:rPr>
          <w:rFonts w:hint="eastAsia" w:asciiTheme="minorEastAsia" w:hAnsiTheme="minorEastAsia" w:cstheme="minorEastAsia"/>
          <w:highlight w:val="none"/>
          <w:lang w:val="en-US" w:eastAsia="zh-CN"/>
        </w:rPr>
        <w:t>申报单位选定业务类型后，还需选定具体的申报类型。</w:t>
      </w:r>
    </w:p>
    <w:p>
      <w:pPr>
        <w:numPr>
          <w:ilvl w:val="0"/>
          <w:numId w:val="4"/>
        </w:numPr>
        <w:ind w:left="0" w:leftChars="0" w:firstLine="0" w:firstLineChars="0"/>
        <w:jc w:val="left"/>
        <w:rPr>
          <w:rFonts w:hint="eastAsia" w:asciiTheme="minorEastAsia" w:hAnsiTheme="minorEastAsia" w:cstheme="minorEastAsia"/>
          <w:highlight w:val="none"/>
          <w:lang w:val="en-US" w:eastAsia="zh-CN"/>
        </w:rPr>
      </w:pPr>
      <w:r>
        <w:rPr>
          <w:rFonts w:hint="eastAsia" w:asciiTheme="minorEastAsia" w:hAnsiTheme="minorEastAsia" w:cstheme="minorEastAsia"/>
          <w:highlight w:val="none"/>
          <w:lang w:val="en-US" w:eastAsia="zh-CN"/>
        </w:rPr>
        <w:t>金鸡湖高层次人才可选申报类型：</w:t>
      </w:r>
    </w:p>
    <w:p>
      <w:pPr>
        <w:numPr>
          <w:ilvl w:val="0"/>
          <w:numId w:val="0"/>
        </w:numPr>
        <w:ind w:leftChars="0" w:firstLine="420" w:firstLineChars="0"/>
        <w:jc w:val="left"/>
        <w:rPr>
          <w:rFonts w:hint="eastAsia" w:asciiTheme="minorEastAsia" w:hAnsiTheme="minorEastAsia" w:cstheme="minorEastAsia"/>
          <w:highlight w:val="none"/>
          <w:lang w:val="en-US" w:eastAsia="zh-CN"/>
        </w:rPr>
      </w:pPr>
      <w:r>
        <w:rPr>
          <w:rFonts w:hint="eastAsia" w:asciiTheme="minorEastAsia" w:hAnsiTheme="minorEastAsia" w:cstheme="minorEastAsia"/>
          <w:highlight w:val="none"/>
          <w:lang w:val="en-US" w:eastAsia="zh-CN"/>
        </w:rPr>
        <w:t>国家级重大人才引进工程、省“双创计划”。</w:t>
      </w:r>
    </w:p>
    <w:p>
      <w:pPr>
        <w:numPr>
          <w:ilvl w:val="0"/>
          <w:numId w:val="0"/>
        </w:numPr>
        <w:ind w:left="0" w:leftChars="0" w:firstLine="0" w:firstLineChars="0"/>
        <w:jc w:val="left"/>
        <w:rPr>
          <w:rFonts w:hint="default" w:asciiTheme="minorEastAsia" w:hAnsiTheme="minorEastAsia" w:cstheme="minorEastAsia"/>
          <w:highlight w:val="none"/>
          <w:lang w:val="en-US" w:eastAsia="zh-CN"/>
        </w:rPr>
      </w:pPr>
      <w:r>
        <w:drawing>
          <wp:inline distT="0" distB="0" distL="114300" distR="114300">
            <wp:extent cx="5272405" cy="2106295"/>
            <wp:effectExtent l="12700" t="12700" r="23495" b="1460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22"/>
                    <a:stretch>
                      <a:fillRect/>
                    </a:stretch>
                  </pic:blipFill>
                  <pic:spPr>
                    <a:xfrm>
                      <a:off x="0" y="0"/>
                      <a:ext cx="5272405" cy="2106295"/>
                    </a:xfrm>
                    <a:prstGeom prst="rect">
                      <a:avLst/>
                    </a:prstGeom>
                    <a:noFill/>
                    <a:ln w="12700" cmpd="sng">
                      <a:solidFill>
                        <a:schemeClr val="bg1">
                          <a:lumMod val="75000"/>
                        </a:schemeClr>
                      </a:solidFill>
                      <a:prstDash val="solid"/>
                    </a:ln>
                  </pic:spPr>
                </pic:pic>
              </a:graphicData>
            </a:graphic>
          </wp:inline>
        </w:drawing>
      </w:r>
    </w:p>
    <w:p>
      <w:pPr>
        <w:numPr>
          <w:ilvl w:val="0"/>
          <w:numId w:val="4"/>
        </w:numPr>
        <w:ind w:left="0" w:leftChars="0" w:firstLine="0" w:firstLineChars="0"/>
        <w:jc w:val="left"/>
        <w:rPr>
          <w:rFonts w:hint="eastAsia" w:asciiTheme="minorEastAsia" w:hAnsiTheme="minorEastAsia" w:cstheme="minorEastAsia"/>
          <w:highlight w:val="none"/>
          <w:lang w:val="en-US" w:eastAsia="zh-CN"/>
        </w:rPr>
      </w:pPr>
      <w:r>
        <w:rPr>
          <w:rFonts w:hint="eastAsia" w:asciiTheme="minorEastAsia" w:hAnsiTheme="minorEastAsia" w:cstheme="minorEastAsia"/>
          <w:highlight w:val="none"/>
          <w:lang w:val="en-US" w:eastAsia="zh-CN"/>
        </w:rPr>
        <w:t>金鸡湖科教人才中可选申报类型：</w:t>
      </w:r>
    </w:p>
    <w:p>
      <w:pPr>
        <w:numPr>
          <w:ilvl w:val="0"/>
          <w:numId w:val="0"/>
        </w:numPr>
        <w:ind w:left="480" w:leftChars="0"/>
        <w:jc w:val="left"/>
        <w:rPr>
          <w:rFonts w:hint="eastAsia" w:asciiTheme="minorEastAsia" w:hAnsiTheme="minorEastAsia" w:cstheme="minorEastAsia"/>
          <w:highlight w:val="none"/>
          <w:lang w:val="en-US" w:eastAsia="zh-CN"/>
        </w:rPr>
      </w:pPr>
      <w:r>
        <w:rPr>
          <w:rFonts w:hint="eastAsia" w:asciiTheme="minorEastAsia" w:hAnsiTheme="minorEastAsia" w:cstheme="minorEastAsia"/>
          <w:highlight w:val="none"/>
          <w:lang w:val="en-US" w:eastAsia="zh-CN"/>
        </w:rPr>
        <w:t>国际型学科领军人才、企业家兼职教授。</w:t>
      </w:r>
    </w:p>
    <w:p>
      <w:pPr>
        <w:numPr>
          <w:ilvl w:val="0"/>
          <w:numId w:val="0"/>
        </w:numPr>
        <w:ind w:left="0" w:leftChars="0" w:firstLine="0" w:firstLineChars="0"/>
        <w:jc w:val="left"/>
        <w:rPr>
          <w:rFonts w:hint="eastAsia" w:asciiTheme="minorEastAsia" w:hAnsiTheme="minorEastAsia" w:cstheme="minorEastAsia"/>
          <w:highlight w:val="none"/>
          <w:lang w:val="en-US" w:eastAsia="zh-CN"/>
        </w:rPr>
      </w:pPr>
      <w:r>
        <w:drawing>
          <wp:inline distT="0" distB="0" distL="114300" distR="114300">
            <wp:extent cx="5266690" cy="1859915"/>
            <wp:effectExtent l="12700" t="12700" r="16510" b="1968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23"/>
                    <a:stretch>
                      <a:fillRect/>
                    </a:stretch>
                  </pic:blipFill>
                  <pic:spPr>
                    <a:xfrm>
                      <a:off x="0" y="0"/>
                      <a:ext cx="5266690" cy="1859915"/>
                    </a:xfrm>
                    <a:prstGeom prst="rect">
                      <a:avLst/>
                    </a:prstGeom>
                    <a:noFill/>
                    <a:ln w="12700" cmpd="sng">
                      <a:solidFill>
                        <a:schemeClr val="bg1">
                          <a:lumMod val="75000"/>
                        </a:schemeClr>
                      </a:solidFill>
                      <a:prstDash val="solid"/>
                    </a:ln>
                  </pic:spPr>
                </pic:pic>
              </a:graphicData>
            </a:graphic>
          </wp:inline>
        </w:drawing>
      </w:r>
    </w:p>
    <w:p>
      <w:pPr>
        <w:numPr>
          <w:ilvl w:val="0"/>
          <w:numId w:val="4"/>
        </w:numPr>
        <w:ind w:left="0" w:leftChars="0" w:firstLine="0" w:firstLineChars="0"/>
        <w:jc w:val="left"/>
        <w:rPr>
          <w:rFonts w:hint="eastAsia" w:asciiTheme="minorEastAsia" w:hAnsiTheme="minorEastAsia" w:cstheme="minorEastAsia"/>
          <w:highlight w:val="none"/>
          <w:lang w:val="en-US" w:eastAsia="zh-CN"/>
        </w:rPr>
      </w:pPr>
      <w:r>
        <w:rPr>
          <w:rFonts w:hint="eastAsia" w:asciiTheme="minorEastAsia" w:hAnsiTheme="minorEastAsia" w:cstheme="minorEastAsia"/>
          <w:highlight w:val="none"/>
          <w:lang w:val="en-US" w:eastAsia="zh-CN"/>
        </w:rPr>
        <w:t>金鸡湖高端服务业人才可选申报类型：</w:t>
      </w:r>
    </w:p>
    <w:p>
      <w:pPr>
        <w:numPr>
          <w:ilvl w:val="0"/>
          <w:numId w:val="0"/>
        </w:numPr>
        <w:ind w:leftChars="0" w:firstLine="420" w:firstLineChars="0"/>
        <w:jc w:val="left"/>
        <w:rPr>
          <w:rFonts w:hint="eastAsia" w:asciiTheme="minorEastAsia" w:hAnsiTheme="minorEastAsia" w:cstheme="minorEastAsia"/>
          <w:highlight w:val="none"/>
          <w:lang w:val="en-US" w:eastAsia="zh-CN"/>
        </w:rPr>
      </w:pPr>
      <w:r>
        <w:rPr>
          <w:rFonts w:hint="default" w:asciiTheme="minorEastAsia" w:hAnsiTheme="minorEastAsia" w:cstheme="minorEastAsia"/>
          <w:highlight w:val="none"/>
          <w:lang w:val="en-US" w:eastAsia="zh-CN"/>
        </w:rPr>
        <w:t>总部经济</w:t>
      </w:r>
      <w:r>
        <w:rPr>
          <w:rFonts w:hint="eastAsia" w:asciiTheme="minorEastAsia" w:hAnsiTheme="minorEastAsia" w:cstheme="minorEastAsia"/>
          <w:highlight w:val="none"/>
          <w:lang w:val="en-US" w:eastAsia="zh-CN"/>
        </w:rPr>
        <w:t>、</w:t>
      </w:r>
      <w:r>
        <w:rPr>
          <w:rFonts w:hint="default" w:asciiTheme="minorEastAsia" w:hAnsiTheme="minorEastAsia" w:cstheme="minorEastAsia"/>
          <w:highlight w:val="none"/>
          <w:lang w:val="en-US" w:eastAsia="zh-CN"/>
        </w:rPr>
        <w:t>现代商贸</w:t>
      </w:r>
      <w:r>
        <w:rPr>
          <w:rFonts w:hint="eastAsia" w:asciiTheme="minorEastAsia" w:hAnsiTheme="minorEastAsia" w:cstheme="minorEastAsia"/>
          <w:highlight w:val="none"/>
          <w:lang w:val="en-US" w:eastAsia="zh-CN"/>
        </w:rPr>
        <w:t>、</w:t>
      </w:r>
      <w:r>
        <w:rPr>
          <w:rFonts w:hint="default" w:asciiTheme="minorEastAsia" w:hAnsiTheme="minorEastAsia" w:cstheme="minorEastAsia"/>
          <w:highlight w:val="none"/>
          <w:lang w:val="en-US" w:eastAsia="zh-CN"/>
        </w:rPr>
        <w:t>重点生产性服务业</w:t>
      </w:r>
      <w:r>
        <w:rPr>
          <w:rFonts w:hint="eastAsia" w:asciiTheme="minorEastAsia" w:hAnsiTheme="minorEastAsia" w:cstheme="minorEastAsia"/>
          <w:highlight w:val="none"/>
          <w:lang w:val="en-US" w:eastAsia="zh-CN"/>
        </w:rPr>
        <w:t>、</w:t>
      </w:r>
      <w:r>
        <w:rPr>
          <w:rFonts w:hint="default" w:asciiTheme="minorEastAsia" w:hAnsiTheme="minorEastAsia" w:cstheme="minorEastAsia"/>
          <w:highlight w:val="none"/>
          <w:lang w:val="en-US" w:eastAsia="zh-CN"/>
        </w:rPr>
        <w:t>服务贸易</w:t>
      </w:r>
      <w:r>
        <w:rPr>
          <w:rFonts w:hint="eastAsia" w:asciiTheme="minorEastAsia" w:hAnsiTheme="minorEastAsia" w:cstheme="minorEastAsia"/>
          <w:highlight w:val="none"/>
          <w:lang w:val="en-US" w:eastAsia="zh-CN"/>
        </w:rPr>
        <w:t>、</w:t>
      </w:r>
      <w:r>
        <w:rPr>
          <w:rFonts w:hint="default" w:asciiTheme="minorEastAsia" w:hAnsiTheme="minorEastAsia" w:cstheme="minorEastAsia"/>
          <w:highlight w:val="none"/>
          <w:lang w:val="en-US" w:eastAsia="zh-CN"/>
        </w:rPr>
        <w:t>高端商务服务</w:t>
      </w:r>
      <w:r>
        <w:rPr>
          <w:rFonts w:hint="eastAsia" w:asciiTheme="minorEastAsia" w:hAnsiTheme="minorEastAsia" w:cstheme="minorEastAsia"/>
          <w:highlight w:val="none"/>
          <w:lang w:val="en-US" w:eastAsia="zh-CN"/>
        </w:rPr>
        <w:t>、</w:t>
      </w:r>
      <w:r>
        <w:rPr>
          <w:rFonts w:hint="default" w:asciiTheme="minorEastAsia" w:hAnsiTheme="minorEastAsia" w:cstheme="minorEastAsia"/>
          <w:highlight w:val="none"/>
          <w:lang w:val="en-US" w:eastAsia="zh-CN"/>
        </w:rPr>
        <w:t>金融</w:t>
      </w:r>
      <w:r>
        <w:rPr>
          <w:rFonts w:hint="eastAsia" w:asciiTheme="minorEastAsia" w:hAnsiTheme="minorEastAsia" w:cstheme="minorEastAsia"/>
          <w:highlight w:val="none"/>
          <w:lang w:val="en-US" w:eastAsia="zh-CN"/>
        </w:rPr>
        <w:t>、</w:t>
      </w:r>
      <w:r>
        <w:rPr>
          <w:rFonts w:hint="default" w:asciiTheme="minorEastAsia" w:hAnsiTheme="minorEastAsia" w:cstheme="minorEastAsia"/>
          <w:highlight w:val="none"/>
          <w:lang w:val="en-US" w:eastAsia="zh-CN"/>
        </w:rPr>
        <w:t>文化创意（含体育）</w:t>
      </w:r>
      <w:r>
        <w:rPr>
          <w:rFonts w:hint="eastAsia" w:asciiTheme="minorEastAsia" w:hAnsiTheme="minorEastAsia" w:cstheme="minorEastAsia"/>
          <w:highlight w:val="none"/>
          <w:lang w:val="en-US" w:eastAsia="zh-CN"/>
        </w:rPr>
        <w:t>（创业人才、创新人才）、</w:t>
      </w:r>
      <w:r>
        <w:rPr>
          <w:rFonts w:hint="default" w:asciiTheme="minorEastAsia" w:hAnsiTheme="minorEastAsia" w:cstheme="minorEastAsia"/>
          <w:highlight w:val="none"/>
          <w:lang w:val="en-US" w:eastAsia="zh-CN"/>
        </w:rPr>
        <w:t>旅游</w:t>
      </w:r>
      <w:r>
        <w:rPr>
          <w:rFonts w:hint="eastAsia" w:asciiTheme="minorEastAsia" w:hAnsiTheme="minorEastAsia" w:cstheme="minorEastAsia"/>
          <w:highlight w:val="none"/>
          <w:lang w:val="en-US" w:eastAsia="zh-CN"/>
        </w:rPr>
        <w:t>（创业人才、创新人才）、</w:t>
      </w:r>
      <w:r>
        <w:rPr>
          <w:rFonts w:hint="default" w:asciiTheme="minorEastAsia" w:hAnsiTheme="minorEastAsia" w:cstheme="minorEastAsia"/>
          <w:highlight w:val="none"/>
          <w:lang w:val="en-US" w:eastAsia="zh-CN"/>
        </w:rPr>
        <w:t>科技服务业人才</w:t>
      </w:r>
      <w:r>
        <w:rPr>
          <w:rFonts w:hint="eastAsia" w:asciiTheme="minorEastAsia" w:hAnsiTheme="minorEastAsia" w:cstheme="minorEastAsia"/>
          <w:highlight w:val="none"/>
          <w:lang w:val="en-US" w:eastAsia="zh-CN"/>
        </w:rPr>
        <w:t>（创业人才、创新人才）。</w:t>
      </w:r>
    </w:p>
    <w:p>
      <w:pPr>
        <w:numPr>
          <w:ilvl w:val="0"/>
          <w:numId w:val="0"/>
        </w:numPr>
        <w:jc w:val="left"/>
        <w:rPr>
          <w:rFonts w:hint="eastAsia" w:asciiTheme="minorEastAsia" w:hAnsiTheme="minorEastAsia" w:cstheme="minorEastAsia"/>
          <w:highlight w:val="none"/>
          <w:lang w:val="en-US" w:eastAsia="zh-CN"/>
        </w:rPr>
      </w:pPr>
      <w:r>
        <w:drawing>
          <wp:inline distT="0" distB="0" distL="114300" distR="114300">
            <wp:extent cx="5269865" cy="2288540"/>
            <wp:effectExtent l="12700" t="12700" r="13335" b="2286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4"/>
                    <a:stretch>
                      <a:fillRect/>
                    </a:stretch>
                  </pic:blipFill>
                  <pic:spPr>
                    <a:xfrm>
                      <a:off x="0" y="0"/>
                      <a:ext cx="5269865" cy="2288540"/>
                    </a:xfrm>
                    <a:prstGeom prst="rect">
                      <a:avLst/>
                    </a:prstGeom>
                    <a:noFill/>
                    <a:ln w="12700" cmpd="sng">
                      <a:solidFill>
                        <a:schemeClr val="bg1">
                          <a:lumMod val="75000"/>
                        </a:schemeClr>
                      </a:solidFill>
                      <a:prstDash val="solid"/>
                    </a:ln>
                  </pic:spPr>
                </pic:pic>
              </a:graphicData>
            </a:graphic>
          </wp:inline>
        </w:drawing>
      </w:r>
    </w:p>
    <w:p>
      <w:pPr>
        <w:numPr>
          <w:ilvl w:val="0"/>
          <w:numId w:val="4"/>
        </w:numPr>
        <w:ind w:left="0" w:leftChars="0" w:firstLine="0" w:firstLineChars="0"/>
        <w:jc w:val="left"/>
        <w:rPr>
          <w:rFonts w:hint="eastAsia" w:asciiTheme="minorEastAsia" w:hAnsiTheme="minorEastAsia" w:cstheme="minorEastAsia"/>
          <w:highlight w:val="none"/>
          <w:lang w:val="en-US" w:eastAsia="zh-CN"/>
        </w:rPr>
      </w:pPr>
      <w:r>
        <w:rPr>
          <w:rFonts w:hint="eastAsia" w:asciiTheme="minorEastAsia" w:hAnsiTheme="minorEastAsia" w:cstheme="minorEastAsia"/>
          <w:highlight w:val="none"/>
          <w:lang w:val="en-US" w:eastAsia="zh-CN"/>
        </w:rPr>
        <w:t>金鸡湖高技能人才可选申报类型：</w:t>
      </w:r>
    </w:p>
    <w:p>
      <w:pPr>
        <w:numPr>
          <w:ilvl w:val="0"/>
          <w:numId w:val="0"/>
        </w:numPr>
        <w:ind w:leftChars="0" w:firstLine="420" w:firstLineChars="0"/>
        <w:jc w:val="left"/>
        <w:rPr>
          <w:rFonts w:hint="default" w:asciiTheme="minorEastAsia" w:hAnsiTheme="minorEastAsia" w:cstheme="minorEastAsia"/>
          <w:highlight w:val="none"/>
          <w:lang w:val="en-US" w:eastAsia="zh-CN"/>
        </w:rPr>
      </w:pPr>
      <w:r>
        <w:rPr>
          <w:rFonts w:hint="eastAsia" w:asciiTheme="minorEastAsia" w:hAnsiTheme="minorEastAsia" w:cstheme="minorEastAsia"/>
          <w:highlight w:val="none"/>
          <w:lang w:val="en-US" w:eastAsia="zh-CN"/>
        </w:rPr>
        <w:t>金鸡湖工匠。</w:t>
      </w:r>
    </w:p>
    <w:p>
      <w:pPr>
        <w:ind w:left="0" w:leftChars="0" w:firstLine="0" w:firstLineChars="0"/>
      </w:pPr>
      <w:r>
        <w:drawing>
          <wp:inline distT="0" distB="0" distL="114300" distR="114300">
            <wp:extent cx="5269230" cy="2649220"/>
            <wp:effectExtent l="12700" t="12700" r="13970" b="1778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25"/>
                    <a:stretch>
                      <a:fillRect/>
                    </a:stretch>
                  </pic:blipFill>
                  <pic:spPr>
                    <a:xfrm>
                      <a:off x="0" y="0"/>
                      <a:ext cx="5269230" cy="2649220"/>
                    </a:xfrm>
                    <a:prstGeom prst="rect">
                      <a:avLst/>
                    </a:prstGeom>
                    <a:noFill/>
                    <a:ln w="12700" cmpd="sng">
                      <a:solidFill>
                        <a:schemeClr val="bg1">
                          <a:lumMod val="75000"/>
                        </a:schemeClr>
                      </a:solidFill>
                      <a:prstDash val="solid"/>
                    </a:ln>
                  </pic:spPr>
                </pic:pic>
              </a:graphicData>
            </a:graphic>
          </wp:inline>
        </w:drawing>
      </w:r>
    </w:p>
    <w:p>
      <w:pPr>
        <w:numPr>
          <w:ilvl w:val="0"/>
          <w:numId w:val="4"/>
        </w:numPr>
        <w:ind w:left="0" w:leftChars="0" w:firstLine="0" w:firstLineChars="0"/>
        <w:jc w:val="left"/>
        <w:rPr>
          <w:rFonts w:hint="eastAsia" w:asciiTheme="minorEastAsia" w:hAnsiTheme="minorEastAsia" w:cstheme="minorEastAsia"/>
          <w:highlight w:val="none"/>
          <w:lang w:val="en-US" w:eastAsia="zh-CN"/>
        </w:rPr>
      </w:pPr>
      <w:r>
        <w:rPr>
          <w:rFonts w:hint="eastAsia" w:asciiTheme="minorEastAsia" w:hAnsiTheme="minorEastAsia" w:cstheme="minorEastAsia"/>
          <w:highlight w:val="none"/>
          <w:lang w:val="en-US" w:eastAsia="zh-CN"/>
        </w:rPr>
        <w:t>金鸡湖卫生人才可选申报类型：</w:t>
      </w:r>
    </w:p>
    <w:p>
      <w:pPr>
        <w:numPr>
          <w:ilvl w:val="0"/>
          <w:numId w:val="0"/>
        </w:numPr>
        <w:ind w:leftChars="0" w:firstLine="420" w:firstLineChars="0"/>
        <w:jc w:val="left"/>
        <w:rPr>
          <w:rFonts w:hint="default" w:asciiTheme="minorEastAsia" w:hAnsiTheme="minorEastAsia" w:cstheme="minorEastAsia"/>
          <w:highlight w:val="none"/>
          <w:lang w:val="en-US" w:eastAsia="zh-CN"/>
        </w:rPr>
      </w:pPr>
      <w:r>
        <w:rPr>
          <w:rFonts w:hint="eastAsia" w:asciiTheme="minorEastAsia" w:hAnsiTheme="minorEastAsia" w:cstheme="minorEastAsia"/>
          <w:highlight w:val="none"/>
          <w:lang w:val="en-US" w:eastAsia="zh-CN"/>
        </w:rPr>
        <w:t>临床医学专家团队、特聘人才、高层次人才柔性引进和人才分层培养。</w:t>
      </w:r>
    </w:p>
    <w:p>
      <w:pPr>
        <w:ind w:left="0" w:leftChars="0" w:firstLine="0" w:firstLineChars="0"/>
        <w:rPr>
          <w:rFonts w:hint="eastAsia"/>
        </w:rPr>
      </w:pPr>
      <w:r>
        <w:drawing>
          <wp:inline distT="0" distB="0" distL="114300" distR="114300">
            <wp:extent cx="5267325" cy="2146300"/>
            <wp:effectExtent l="12700" t="12700" r="15875" b="1270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6"/>
                    <a:stretch>
                      <a:fillRect/>
                    </a:stretch>
                  </pic:blipFill>
                  <pic:spPr>
                    <a:xfrm>
                      <a:off x="0" y="0"/>
                      <a:ext cx="5267325" cy="2146300"/>
                    </a:xfrm>
                    <a:prstGeom prst="rect">
                      <a:avLst/>
                    </a:prstGeom>
                    <a:noFill/>
                    <a:ln w="12700" cmpd="sng">
                      <a:solidFill>
                        <a:schemeClr val="bg1">
                          <a:lumMod val="75000"/>
                        </a:schemeClr>
                      </a:solidFill>
                      <a:prstDash val="solid"/>
                    </a:ln>
                  </pic:spPr>
                </pic:pic>
              </a:graphicData>
            </a:graphic>
          </wp:inline>
        </w:drawing>
      </w:r>
    </w:p>
    <w:p>
      <w:pPr>
        <w:pStyle w:val="3"/>
        <w:numPr>
          <w:ilvl w:val="0"/>
          <w:numId w:val="2"/>
        </w:numPr>
        <w:spacing w:before="156" w:after="156" w:line="360" w:lineRule="auto"/>
        <w:ind w:firstLine="0" w:firstLineChars="0"/>
        <w:rPr>
          <w:rFonts w:hint="eastAsia" w:ascii="微软雅黑" w:hAnsi="微软雅黑" w:eastAsia="微软雅黑"/>
          <w:sz w:val="30"/>
          <w:szCs w:val="30"/>
          <w:highlight w:val="none"/>
        </w:rPr>
      </w:pPr>
      <w:bookmarkStart w:id="8" w:name="_Toc12854"/>
      <w:r>
        <w:rPr>
          <w:rFonts w:hint="eastAsia" w:ascii="微软雅黑" w:hAnsi="微软雅黑" w:eastAsia="微软雅黑"/>
          <w:sz w:val="30"/>
          <w:szCs w:val="30"/>
          <w:highlight w:val="none"/>
          <w:lang w:val="en-US" w:eastAsia="zh-CN"/>
        </w:rPr>
        <w:t>承诺函确认</w:t>
      </w:r>
      <w:bookmarkEnd w:id="8"/>
    </w:p>
    <w:p>
      <w:pPr>
        <w:rPr>
          <w:rFonts w:hint="eastAsia" w:asciiTheme="minorEastAsia" w:hAnsiTheme="minorEastAsia" w:cstheme="minorEastAsia"/>
          <w:highlight w:val="none"/>
          <w:lang w:val="en-US" w:eastAsia="zh-CN"/>
        </w:rPr>
      </w:pPr>
      <w:r>
        <w:rPr>
          <w:rFonts w:hint="eastAsia" w:asciiTheme="minorEastAsia" w:hAnsiTheme="minorEastAsia" w:cstheme="minorEastAsia"/>
          <w:highlight w:val="none"/>
          <w:lang w:val="en-US" w:eastAsia="zh-CN"/>
        </w:rPr>
        <w:t>申报单位选定申报类型后，可点击“开始申请”，进入填报前需进行承诺函的阅读及确认。</w:t>
      </w:r>
    </w:p>
    <w:p>
      <w:pPr>
        <w:ind w:left="0" w:leftChars="0" w:firstLine="0" w:firstLineChars="0"/>
        <w:rPr>
          <w:rFonts w:hint="default" w:asciiTheme="minorEastAsia" w:hAnsiTheme="minorEastAsia" w:cstheme="minorEastAsia"/>
          <w:highlight w:val="none"/>
          <w:lang w:val="en-US" w:eastAsia="zh-CN"/>
        </w:rPr>
      </w:pPr>
      <w:r>
        <w:drawing>
          <wp:inline distT="0" distB="0" distL="114300" distR="114300">
            <wp:extent cx="5267960" cy="2997835"/>
            <wp:effectExtent l="12700" t="12700" r="15240" b="2476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7"/>
                    <a:stretch>
                      <a:fillRect/>
                    </a:stretch>
                  </pic:blipFill>
                  <pic:spPr>
                    <a:xfrm>
                      <a:off x="0" y="0"/>
                      <a:ext cx="5267960" cy="2997835"/>
                    </a:xfrm>
                    <a:prstGeom prst="rect">
                      <a:avLst/>
                    </a:prstGeom>
                    <a:noFill/>
                    <a:ln w="12700" cmpd="sng">
                      <a:solidFill>
                        <a:schemeClr val="bg1">
                          <a:lumMod val="75000"/>
                        </a:schemeClr>
                      </a:solidFill>
                      <a:prstDash val="solid"/>
                    </a:ln>
                  </pic:spPr>
                </pic:pic>
              </a:graphicData>
            </a:graphic>
          </wp:inline>
        </w:drawing>
      </w:r>
    </w:p>
    <w:p>
      <w:pPr>
        <w:pStyle w:val="3"/>
        <w:numPr>
          <w:ilvl w:val="0"/>
          <w:numId w:val="2"/>
        </w:numPr>
        <w:spacing w:before="156" w:after="156" w:line="360" w:lineRule="auto"/>
        <w:ind w:firstLine="0" w:firstLineChars="0"/>
        <w:rPr>
          <w:rFonts w:hint="eastAsia" w:ascii="微软雅黑" w:hAnsi="微软雅黑" w:eastAsia="微软雅黑"/>
          <w:sz w:val="30"/>
          <w:szCs w:val="30"/>
          <w:highlight w:val="none"/>
        </w:rPr>
      </w:pPr>
      <w:bookmarkStart w:id="9" w:name="_Toc13057"/>
      <w:r>
        <w:rPr>
          <w:rFonts w:hint="eastAsia" w:ascii="微软雅黑" w:hAnsi="微软雅黑" w:eastAsia="微软雅黑"/>
          <w:sz w:val="30"/>
          <w:szCs w:val="30"/>
          <w:highlight w:val="none"/>
          <w:lang w:val="en-US" w:eastAsia="zh-CN"/>
        </w:rPr>
        <w:t>开始填报</w:t>
      </w:r>
      <w:bookmarkEnd w:id="9"/>
    </w:p>
    <w:p>
      <w:pPr>
        <w:ind w:left="0" w:leftChars="0" w:firstLine="420" w:firstLineChars="0"/>
        <w:jc w:val="left"/>
        <w:rPr>
          <w:rFonts w:hint="eastAsia" w:asciiTheme="minorEastAsia" w:hAnsiTheme="minorEastAsia" w:cstheme="minorEastAsia"/>
          <w:highlight w:val="none"/>
          <w:lang w:val="en-US" w:eastAsia="zh-CN"/>
        </w:rPr>
      </w:pPr>
      <w:r>
        <w:rPr>
          <w:rFonts w:hint="eastAsia" w:asciiTheme="minorEastAsia" w:hAnsiTheme="minorEastAsia" w:cstheme="minorEastAsia"/>
          <w:highlight w:val="none"/>
          <w:lang w:val="en-US" w:eastAsia="zh-CN"/>
        </w:rPr>
        <w:t>金鸡湖各类人才填报均包括四部分：申报信息、申报人信息、单位信息和附件。</w:t>
      </w:r>
    </w:p>
    <w:p>
      <w:pPr>
        <w:ind w:left="0" w:leftChars="0" w:firstLine="420" w:firstLineChars="0"/>
        <w:jc w:val="left"/>
        <w:rPr>
          <w:rFonts w:hint="default" w:asciiTheme="minorEastAsia" w:hAnsiTheme="minorEastAsia" w:cstheme="minorEastAsia"/>
          <w:highlight w:val="none"/>
          <w:lang w:val="en-US" w:eastAsia="zh-CN"/>
        </w:rPr>
      </w:pPr>
      <w:r>
        <w:rPr>
          <w:rFonts w:hint="eastAsia" w:asciiTheme="minorEastAsia" w:hAnsiTheme="minorEastAsia" w:cstheme="minorEastAsia"/>
          <w:highlight w:val="none"/>
          <w:lang w:val="en-US" w:eastAsia="zh-CN"/>
        </w:rPr>
        <w:t>但各类人才的填写的信息又存在个性化内容，以下页面介绍将以</w:t>
      </w:r>
      <w:r>
        <w:rPr>
          <w:rFonts w:hint="eastAsia" w:asciiTheme="minorEastAsia" w:hAnsiTheme="minorEastAsia" w:cstheme="minorEastAsia"/>
          <w:b/>
          <w:bCs/>
          <w:highlight w:val="none"/>
          <w:lang w:val="en-US" w:eastAsia="zh-CN"/>
        </w:rPr>
        <w:t>金鸡湖高端服务业人才-总部经济</w:t>
      </w:r>
      <w:r>
        <w:rPr>
          <w:rFonts w:hint="eastAsia" w:asciiTheme="minorEastAsia" w:hAnsiTheme="minorEastAsia" w:cstheme="minorEastAsia"/>
          <w:b w:val="0"/>
          <w:bCs w:val="0"/>
          <w:highlight w:val="none"/>
          <w:lang w:val="en-US" w:eastAsia="zh-CN"/>
        </w:rPr>
        <w:t>为</w:t>
      </w:r>
      <w:r>
        <w:rPr>
          <w:rFonts w:hint="eastAsia" w:asciiTheme="minorEastAsia" w:hAnsiTheme="minorEastAsia" w:cstheme="minorEastAsia"/>
          <w:highlight w:val="none"/>
          <w:lang w:val="en-US" w:eastAsia="zh-CN"/>
        </w:rPr>
        <w:t>例。</w:t>
      </w:r>
    </w:p>
    <w:p>
      <w:pPr>
        <w:numPr>
          <w:ilvl w:val="0"/>
          <w:numId w:val="5"/>
        </w:numPr>
        <w:ind w:left="0" w:leftChars="0" w:firstLine="422" w:firstLineChars="175"/>
        <w:outlineLvl w:val="2"/>
        <w:rPr>
          <w:rFonts w:hint="eastAsia" w:asciiTheme="minorEastAsia" w:hAnsiTheme="minorEastAsia" w:eastAsiaTheme="minorEastAsia" w:cstheme="minorEastAsia"/>
          <w:b/>
          <w:bCs/>
          <w:kern w:val="2"/>
          <w:sz w:val="24"/>
          <w:szCs w:val="24"/>
          <w:highlight w:val="none"/>
          <w:lang w:val="en-US" w:eastAsia="zh-CN" w:bidi="ar-SA"/>
        </w:rPr>
      </w:pPr>
      <w:bookmarkStart w:id="10" w:name="_Toc17852"/>
      <w:r>
        <w:rPr>
          <w:rFonts w:hint="eastAsia" w:asciiTheme="minorEastAsia" w:hAnsiTheme="minorEastAsia" w:eastAsiaTheme="minorEastAsia" w:cstheme="minorEastAsia"/>
          <w:b/>
          <w:bCs/>
          <w:kern w:val="2"/>
          <w:sz w:val="24"/>
          <w:szCs w:val="24"/>
          <w:highlight w:val="none"/>
          <w:lang w:val="en-US" w:eastAsia="zh-CN" w:bidi="ar-SA"/>
        </w:rPr>
        <w:t>申报信息填写</w:t>
      </w:r>
      <w:bookmarkEnd w:id="10"/>
    </w:p>
    <w:p>
      <w:pPr>
        <w:bidi w:val="0"/>
        <w:rPr>
          <w:rFonts w:hint="eastAsia"/>
          <w:highlight w:val="none"/>
          <w:lang w:val="en-US" w:eastAsia="zh-CN"/>
        </w:rPr>
      </w:pPr>
      <w:r>
        <w:rPr>
          <w:rFonts w:hint="eastAsia"/>
          <w:highlight w:val="none"/>
          <w:lang w:val="en-US" w:eastAsia="zh-CN"/>
        </w:rPr>
        <w:t>申报单位进入“申报信息”填写页面，需维护的内容包括申报信息和联系人信息。</w:t>
      </w:r>
    </w:p>
    <w:p>
      <w:pPr>
        <w:bidi w:val="0"/>
        <w:ind w:left="0" w:leftChars="0" w:firstLine="0" w:firstLineChars="0"/>
        <w:rPr>
          <w:rFonts w:hint="eastAsia"/>
          <w:highlight w:val="yellow"/>
          <w:lang w:val="en-US" w:eastAsia="zh-CN"/>
        </w:rPr>
      </w:pPr>
      <w:r>
        <w:drawing>
          <wp:inline distT="0" distB="0" distL="114300" distR="114300">
            <wp:extent cx="5264150" cy="2114550"/>
            <wp:effectExtent l="12700" t="12700" r="19050" b="19050"/>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28"/>
                    <a:stretch>
                      <a:fillRect/>
                    </a:stretch>
                  </pic:blipFill>
                  <pic:spPr>
                    <a:xfrm>
                      <a:off x="0" y="0"/>
                      <a:ext cx="5264150" cy="2114550"/>
                    </a:xfrm>
                    <a:prstGeom prst="rect">
                      <a:avLst/>
                    </a:prstGeom>
                    <a:noFill/>
                    <a:ln w="12700" cmpd="sng">
                      <a:solidFill>
                        <a:schemeClr val="bg1">
                          <a:lumMod val="75000"/>
                        </a:schemeClr>
                      </a:solidFill>
                      <a:prstDash val="solid"/>
                    </a:ln>
                  </pic:spPr>
                </pic:pic>
              </a:graphicData>
            </a:graphic>
          </wp:inline>
        </w:drawing>
      </w:r>
    </w:p>
    <w:p>
      <w:pPr>
        <w:bidi w:val="0"/>
        <w:rPr>
          <w:rFonts w:hint="default"/>
          <w:highlight w:val="none"/>
          <w:lang w:val="en-US" w:eastAsia="zh-CN"/>
        </w:rPr>
      </w:pPr>
      <w:r>
        <w:rPr>
          <w:rFonts w:hint="eastAsia"/>
          <w:highlight w:val="none"/>
          <w:lang w:val="en-US" w:eastAsia="zh-CN"/>
        </w:rPr>
        <w:t>联系人信息可从申报单位统一联系人管理中进行选择，若不在联系人列表中，可点击“联系人管理”进行新增后并做选择。</w:t>
      </w:r>
    </w:p>
    <w:p>
      <w:pPr>
        <w:bidi w:val="0"/>
        <w:ind w:left="0" w:leftChars="0" w:firstLine="0" w:firstLineChars="0"/>
        <w:rPr>
          <w:rFonts w:hint="eastAsia"/>
          <w:highlight w:val="yellow"/>
          <w:lang w:val="en-US" w:eastAsia="zh-CN"/>
        </w:rPr>
      </w:pPr>
      <w:r>
        <w:drawing>
          <wp:inline distT="0" distB="0" distL="114300" distR="114300">
            <wp:extent cx="5179060" cy="2101215"/>
            <wp:effectExtent l="12700" t="12700" r="15240" b="19685"/>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29"/>
                    <a:srcRect l="1806" t="4433" b="3879"/>
                    <a:stretch>
                      <a:fillRect/>
                    </a:stretch>
                  </pic:blipFill>
                  <pic:spPr>
                    <a:xfrm>
                      <a:off x="0" y="0"/>
                      <a:ext cx="5179060" cy="2101215"/>
                    </a:xfrm>
                    <a:prstGeom prst="rect">
                      <a:avLst/>
                    </a:prstGeom>
                    <a:noFill/>
                    <a:ln w="12700" cmpd="sng">
                      <a:solidFill>
                        <a:schemeClr val="bg1">
                          <a:lumMod val="75000"/>
                        </a:schemeClr>
                      </a:solidFill>
                      <a:prstDash val="solid"/>
                    </a:ln>
                  </pic:spPr>
                </pic:pic>
              </a:graphicData>
            </a:graphic>
          </wp:inline>
        </w:drawing>
      </w:r>
    </w:p>
    <w:p>
      <w:pPr>
        <w:bidi w:val="0"/>
        <w:rPr>
          <w:rFonts w:hint="eastAsia"/>
          <w:highlight w:val="none"/>
          <w:lang w:val="en-US" w:eastAsia="zh-CN"/>
        </w:rPr>
      </w:pPr>
      <w:r>
        <w:rPr>
          <w:rFonts w:hint="eastAsia"/>
          <w:highlight w:val="none"/>
          <w:lang w:val="en-US" w:eastAsia="zh-CN"/>
        </w:rPr>
        <w:t>维护并检查完毕，即可点击页面中“保存并继续”，进入下一模块“申报人信息”。</w:t>
      </w:r>
    </w:p>
    <w:p>
      <w:pPr>
        <w:numPr>
          <w:ilvl w:val="0"/>
          <w:numId w:val="5"/>
        </w:numPr>
        <w:ind w:left="0" w:leftChars="0" w:firstLine="422" w:firstLineChars="175"/>
        <w:outlineLvl w:val="2"/>
        <w:rPr>
          <w:rFonts w:hint="eastAsia" w:asciiTheme="minorEastAsia" w:hAnsiTheme="minorEastAsia" w:eastAsiaTheme="minorEastAsia" w:cstheme="minorEastAsia"/>
          <w:b/>
          <w:bCs/>
          <w:kern w:val="2"/>
          <w:sz w:val="24"/>
          <w:szCs w:val="24"/>
          <w:highlight w:val="none"/>
          <w:lang w:val="en-US" w:eastAsia="zh-CN" w:bidi="ar-SA"/>
        </w:rPr>
      </w:pPr>
      <w:bookmarkStart w:id="11" w:name="_Toc17899"/>
      <w:r>
        <w:rPr>
          <w:rFonts w:hint="eastAsia" w:asciiTheme="minorEastAsia" w:hAnsiTheme="minorEastAsia" w:cstheme="minorEastAsia"/>
          <w:b/>
          <w:bCs/>
          <w:kern w:val="2"/>
          <w:sz w:val="24"/>
          <w:szCs w:val="24"/>
          <w:highlight w:val="none"/>
          <w:lang w:val="en-US" w:eastAsia="zh-CN" w:bidi="ar-SA"/>
        </w:rPr>
        <w:t>申报人信息填写</w:t>
      </w:r>
      <w:bookmarkEnd w:id="11"/>
    </w:p>
    <w:p>
      <w:pPr>
        <w:bidi w:val="0"/>
        <w:rPr>
          <w:rFonts w:hint="eastAsia"/>
          <w:highlight w:val="none"/>
          <w:lang w:val="en-US" w:eastAsia="zh-CN"/>
        </w:rPr>
      </w:pPr>
      <w:r>
        <w:rPr>
          <w:rFonts w:hint="eastAsia"/>
          <w:highlight w:val="none"/>
          <w:lang w:val="en-US" w:eastAsia="zh-CN"/>
        </w:rPr>
        <w:t>申报单位进入“申报人信息”填写页面，需维护的内容包括申报人基本信息和其他个人信息。</w:t>
      </w:r>
    </w:p>
    <w:p>
      <w:pPr>
        <w:numPr>
          <w:ilvl w:val="0"/>
          <w:numId w:val="6"/>
        </w:numPr>
        <w:bidi w:val="0"/>
        <w:ind w:left="420" w:leftChars="0" w:hanging="420" w:firstLineChars="0"/>
        <w:rPr>
          <w:rFonts w:hint="eastAsia"/>
          <w:highlight w:val="none"/>
          <w:lang w:val="en-US" w:eastAsia="zh-CN"/>
        </w:rPr>
      </w:pPr>
      <w:r>
        <w:rPr>
          <w:rFonts w:hint="eastAsia"/>
          <w:highlight w:val="none"/>
          <w:lang w:val="en-US" w:eastAsia="zh-CN"/>
        </w:rPr>
        <w:t>基本信息包括：个人信息、联系信息、教育经历、工作经历、家庭主要成员等。</w:t>
      </w:r>
      <w:bookmarkStart w:id="18" w:name="_GoBack"/>
      <w:bookmarkEnd w:id="18"/>
    </w:p>
    <w:p>
      <w:pPr>
        <w:numPr>
          <w:ilvl w:val="0"/>
          <w:numId w:val="6"/>
        </w:numPr>
        <w:bidi w:val="0"/>
        <w:ind w:left="420" w:leftChars="0" w:hanging="420" w:firstLineChars="0"/>
        <w:rPr>
          <w:rFonts w:hint="default"/>
          <w:highlight w:val="none"/>
          <w:lang w:val="en-US" w:eastAsia="zh-CN"/>
        </w:rPr>
      </w:pPr>
      <w:r>
        <w:rPr>
          <w:rFonts w:hint="eastAsia"/>
          <w:highlight w:val="none"/>
          <w:lang w:val="en-US" w:eastAsia="zh-CN"/>
        </w:rPr>
        <w:t>其他个人信息包括：专长及代表性成果、工作设想等。</w:t>
      </w:r>
    </w:p>
    <w:p>
      <w:pPr>
        <w:bidi w:val="0"/>
        <w:jc w:val="center"/>
        <w:rPr>
          <w:rFonts w:hint="eastAsia"/>
          <w:lang w:val="en-US" w:eastAsia="zh-CN"/>
        </w:rPr>
      </w:pPr>
      <w:r>
        <w:rPr>
          <w:rFonts w:hint="eastAsia"/>
          <w:lang w:val="en-US" w:eastAsia="zh-CN"/>
        </w:rPr>
        <w:drawing>
          <wp:inline distT="0" distB="0" distL="114300" distR="114300">
            <wp:extent cx="3895090" cy="8262620"/>
            <wp:effectExtent l="12700" t="12700" r="16510" b="17780"/>
            <wp:docPr id="32" name="图片 32" descr="苏州工业园区人才信息枢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苏州工业园区人才信息枢纽2"/>
                    <pic:cNvPicPr>
                      <a:picLocks noChangeAspect="1"/>
                    </pic:cNvPicPr>
                  </pic:nvPicPr>
                  <pic:blipFill>
                    <a:blip r:embed="rId30"/>
                    <a:srcRect b="5312"/>
                    <a:stretch>
                      <a:fillRect/>
                    </a:stretch>
                  </pic:blipFill>
                  <pic:spPr>
                    <a:xfrm>
                      <a:off x="0" y="0"/>
                      <a:ext cx="3895090" cy="8262620"/>
                    </a:xfrm>
                    <a:prstGeom prst="rect">
                      <a:avLst/>
                    </a:prstGeom>
                    <a:noFill/>
                    <a:ln w="12700" cmpd="sng">
                      <a:solidFill>
                        <a:schemeClr val="bg1">
                          <a:lumMod val="75000"/>
                        </a:schemeClr>
                      </a:solidFill>
                      <a:prstDash val="solid"/>
                    </a:ln>
                  </pic:spPr>
                </pic:pic>
              </a:graphicData>
            </a:graphic>
          </wp:inline>
        </w:drawing>
      </w:r>
    </w:p>
    <w:p>
      <w:pPr>
        <w:bidi w:val="0"/>
        <w:rPr>
          <w:rFonts w:hint="eastAsia"/>
          <w:lang w:val="en-US" w:eastAsia="zh-CN"/>
        </w:rPr>
      </w:pPr>
      <w:r>
        <w:rPr>
          <w:rFonts w:hint="eastAsia"/>
          <w:highlight w:val="none"/>
          <w:lang w:val="en-US" w:eastAsia="zh-CN"/>
        </w:rPr>
        <w:t>维护并检查完毕，即可点击页面中“保存并继续”，进入下一模块“单位信息”。</w:t>
      </w:r>
    </w:p>
    <w:p>
      <w:pPr>
        <w:numPr>
          <w:ilvl w:val="0"/>
          <w:numId w:val="5"/>
        </w:numPr>
        <w:ind w:left="0" w:leftChars="0" w:firstLine="422" w:firstLineChars="175"/>
        <w:outlineLvl w:val="2"/>
        <w:rPr>
          <w:rFonts w:hint="eastAsia" w:asciiTheme="minorEastAsia" w:hAnsiTheme="minorEastAsia" w:eastAsiaTheme="minorEastAsia" w:cstheme="minorEastAsia"/>
          <w:b/>
          <w:bCs/>
          <w:kern w:val="2"/>
          <w:sz w:val="24"/>
          <w:szCs w:val="24"/>
          <w:highlight w:val="none"/>
          <w:lang w:val="en-US" w:eastAsia="zh-CN" w:bidi="ar-SA"/>
        </w:rPr>
      </w:pPr>
      <w:bookmarkStart w:id="12" w:name="_Toc29992"/>
      <w:r>
        <w:rPr>
          <w:rFonts w:hint="eastAsia" w:asciiTheme="minorEastAsia" w:hAnsiTheme="minorEastAsia" w:cstheme="minorEastAsia"/>
          <w:b/>
          <w:bCs/>
          <w:kern w:val="2"/>
          <w:sz w:val="24"/>
          <w:szCs w:val="24"/>
          <w:highlight w:val="none"/>
          <w:lang w:val="en-US" w:eastAsia="zh-CN" w:bidi="ar-SA"/>
        </w:rPr>
        <w:t>单位信息填写</w:t>
      </w:r>
      <w:bookmarkEnd w:id="12"/>
    </w:p>
    <w:p>
      <w:pPr>
        <w:bidi w:val="0"/>
        <w:rPr>
          <w:rFonts w:hint="eastAsia"/>
          <w:highlight w:val="none"/>
          <w:lang w:val="en-US" w:eastAsia="zh-CN"/>
        </w:rPr>
      </w:pPr>
      <w:r>
        <w:rPr>
          <w:rFonts w:hint="eastAsia"/>
          <w:highlight w:val="none"/>
          <w:lang w:val="en-US" w:eastAsia="zh-CN"/>
        </w:rPr>
        <w:t>申报单位进入“单位信息”填写页面：</w:t>
      </w:r>
    </w:p>
    <w:p>
      <w:pPr>
        <w:numPr>
          <w:ilvl w:val="0"/>
          <w:numId w:val="7"/>
        </w:numPr>
        <w:bidi w:val="0"/>
        <w:ind w:left="420" w:leftChars="0" w:hanging="420" w:firstLineChars="0"/>
        <w:rPr>
          <w:rFonts w:hint="default"/>
          <w:highlight w:val="none"/>
          <w:lang w:val="en-US" w:eastAsia="zh-CN"/>
        </w:rPr>
      </w:pPr>
      <w:r>
        <w:rPr>
          <w:rFonts w:hint="eastAsia"/>
          <w:highlight w:val="none"/>
          <w:lang w:val="en-US" w:eastAsia="zh-CN"/>
        </w:rPr>
        <w:t>对于金鸡湖高层次人才和金鸡湖科教人才，申报单位信息将系统带出显示，无需填写。</w:t>
      </w:r>
    </w:p>
    <w:p>
      <w:pPr>
        <w:numPr>
          <w:ilvl w:val="0"/>
          <w:numId w:val="7"/>
        </w:numPr>
        <w:bidi w:val="0"/>
        <w:ind w:left="420" w:leftChars="0" w:hanging="420" w:firstLineChars="0"/>
        <w:rPr>
          <w:rFonts w:hint="eastAsia"/>
          <w:highlight w:val="none"/>
          <w:lang w:val="en-US" w:eastAsia="zh-CN"/>
        </w:rPr>
      </w:pPr>
      <w:r>
        <w:rPr>
          <w:rFonts w:hint="eastAsia"/>
          <w:highlight w:val="none"/>
          <w:lang w:val="en-US" w:eastAsia="zh-CN"/>
        </w:rPr>
        <w:t>对于金鸡湖高端服务业人才和金鸡湖高技能人才中创新人才，需维护的内容包括单位基本信息、经营业绩情况、依托企业对申报人提供支持情况等。</w:t>
      </w:r>
    </w:p>
    <w:p>
      <w:pPr>
        <w:numPr>
          <w:ilvl w:val="0"/>
          <w:numId w:val="7"/>
        </w:numPr>
        <w:bidi w:val="0"/>
        <w:ind w:left="420" w:leftChars="0" w:hanging="420" w:firstLineChars="0"/>
        <w:rPr>
          <w:rFonts w:hint="eastAsia"/>
          <w:highlight w:val="none"/>
          <w:lang w:val="en-US" w:eastAsia="zh-CN"/>
        </w:rPr>
      </w:pPr>
      <w:r>
        <w:rPr>
          <w:rFonts w:hint="eastAsia"/>
          <w:highlight w:val="none"/>
          <w:lang w:val="en-US" w:eastAsia="zh-CN"/>
        </w:rPr>
        <w:t>对于金鸡湖高端服务业人才中创业人才，需维护的内容包括单位基本信息、经营业绩情况、创业人才本人持股比例情况和股东成员（除申报人本人）情况等。</w:t>
      </w:r>
    </w:p>
    <w:p>
      <w:pPr>
        <w:numPr>
          <w:ilvl w:val="0"/>
          <w:numId w:val="7"/>
        </w:numPr>
        <w:bidi w:val="0"/>
        <w:ind w:left="420" w:leftChars="0" w:hanging="420" w:firstLineChars="0"/>
        <w:rPr>
          <w:rFonts w:hint="eastAsia"/>
          <w:highlight w:val="none"/>
          <w:lang w:val="en-US" w:eastAsia="zh-CN"/>
        </w:rPr>
      </w:pPr>
      <w:r>
        <w:rPr>
          <w:rFonts w:hint="eastAsia"/>
          <w:highlight w:val="none"/>
          <w:lang w:val="en-US" w:eastAsia="zh-CN"/>
        </w:rPr>
        <w:t>对于金鸡湖卫生人才，只需维护单位基本信息。</w:t>
      </w:r>
    </w:p>
    <w:p>
      <w:pPr>
        <w:bidi w:val="0"/>
        <w:ind w:left="0" w:leftChars="0" w:firstLine="0" w:firstLineChars="0"/>
        <w:jc w:val="center"/>
        <w:rPr>
          <w:rFonts w:hint="eastAsia"/>
          <w:highlight w:val="none"/>
          <w:lang w:val="en-US" w:eastAsia="zh-CN"/>
        </w:rPr>
      </w:pPr>
      <w:r>
        <w:rPr>
          <w:rFonts w:hint="eastAsia"/>
          <w:highlight w:val="none"/>
          <w:lang w:val="en-US" w:eastAsia="zh-CN"/>
        </w:rPr>
        <w:drawing>
          <wp:inline distT="0" distB="0" distL="114300" distR="114300">
            <wp:extent cx="5266690" cy="5704840"/>
            <wp:effectExtent l="12700" t="12700" r="16510" b="22860"/>
            <wp:docPr id="33" name="图片 33" descr="苏州工业园区人才信息枢纽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苏州工业园区人才信息枢纽3"/>
                    <pic:cNvPicPr>
                      <a:picLocks noChangeAspect="1"/>
                    </pic:cNvPicPr>
                  </pic:nvPicPr>
                  <pic:blipFill>
                    <a:blip r:embed="rId31"/>
                    <a:srcRect b="10554"/>
                    <a:stretch>
                      <a:fillRect/>
                    </a:stretch>
                  </pic:blipFill>
                  <pic:spPr>
                    <a:xfrm>
                      <a:off x="0" y="0"/>
                      <a:ext cx="5266690" cy="5704840"/>
                    </a:xfrm>
                    <a:prstGeom prst="rect">
                      <a:avLst/>
                    </a:prstGeom>
                    <a:noFill/>
                    <a:ln w="12700" cmpd="sng">
                      <a:solidFill>
                        <a:schemeClr val="bg1">
                          <a:lumMod val="75000"/>
                        </a:schemeClr>
                      </a:solidFill>
                      <a:prstDash val="solid"/>
                    </a:ln>
                  </pic:spPr>
                </pic:pic>
              </a:graphicData>
            </a:graphic>
          </wp:inline>
        </w:drawing>
      </w:r>
    </w:p>
    <w:p>
      <w:pPr>
        <w:bidi w:val="0"/>
        <w:rPr>
          <w:rFonts w:hint="eastAsia"/>
          <w:lang w:val="en-US" w:eastAsia="zh-CN"/>
        </w:rPr>
      </w:pPr>
      <w:r>
        <w:rPr>
          <w:rFonts w:hint="eastAsia"/>
          <w:highlight w:val="none"/>
          <w:lang w:val="en-US" w:eastAsia="zh-CN"/>
        </w:rPr>
        <w:t>维护并检查完毕，即可点击页面中“保存并继续”，进入下一模块“附件”。</w:t>
      </w:r>
    </w:p>
    <w:p>
      <w:pPr>
        <w:numPr>
          <w:ilvl w:val="0"/>
          <w:numId w:val="5"/>
        </w:numPr>
        <w:ind w:left="0" w:leftChars="0" w:firstLine="422" w:firstLineChars="175"/>
        <w:outlineLvl w:val="2"/>
        <w:rPr>
          <w:rFonts w:hint="eastAsia" w:asciiTheme="minorEastAsia" w:hAnsiTheme="minorEastAsia" w:eastAsiaTheme="minorEastAsia" w:cstheme="minorEastAsia"/>
          <w:b/>
          <w:bCs/>
          <w:kern w:val="2"/>
          <w:sz w:val="24"/>
          <w:szCs w:val="24"/>
          <w:highlight w:val="none"/>
          <w:lang w:val="en-US" w:eastAsia="zh-CN" w:bidi="ar-SA"/>
        </w:rPr>
      </w:pPr>
      <w:bookmarkStart w:id="13" w:name="_Toc3391"/>
      <w:r>
        <w:rPr>
          <w:rFonts w:hint="eastAsia" w:asciiTheme="minorEastAsia" w:hAnsiTheme="minorEastAsia" w:eastAsiaTheme="minorEastAsia" w:cstheme="minorEastAsia"/>
          <w:b/>
          <w:bCs/>
          <w:kern w:val="2"/>
          <w:sz w:val="24"/>
          <w:szCs w:val="24"/>
          <w:highlight w:val="none"/>
          <w:lang w:val="en-US" w:eastAsia="zh-CN" w:bidi="ar-SA"/>
        </w:rPr>
        <w:t>附件材料上传</w:t>
      </w:r>
      <w:bookmarkEnd w:id="13"/>
    </w:p>
    <w:p>
      <w:pPr>
        <w:bidi w:val="0"/>
        <w:rPr>
          <w:rFonts w:hint="eastAsia"/>
          <w:highlight w:val="none"/>
          <w:lang w:val="en-US" w:eastAsia="zh-CN"/>
        </w:rPr>
      </w:pPr>
      <w:r>
        <w:rPr>
          <w:rFonts w:hint="eastAsia"/>
          <w:highlight w:val="none"/>
          <w:lang w:val="en-US" w:eastAsia="zh-CN"/>
        </w:rPr>
        <w:t>申报单位根据页面中附件材料要求，对应上传附件材料。</w:t>
      </w:r>
    </w:p>
    <w:p>
      <w:pPr>
        <w:bidi w:val="0"/>
        <w:ind w:left="0" w:leftChars="0" w:firstLine="0" w:firstLineChars="0"/>
        <w:rPr>
          <w:rFonts w:hint="eastAsia"/>
          <w:highlight w:val="none"/>
          <w:lang w:val="en-US" w:eastAsia="zh-CN"/>
        </w:rPr>
      </w:pPr>
      <w:r>
        <w:rPr>
          <w:rFonts w:hint="eastAsia"/>
          <w:highlight w:val="none"/>
          <w:lang w:val="en-US" w:eastAsia="zh-CN"/>
        </w:rPr>
        <w:drawing>
          <wp:inline distT="0" distB="0" distL="114300" distR="114300">
            <wp:extent cx="5266690" cy="5566410"/>
            <wp:effectExtent l="12700" t="12700" r="16510" b="21590"/>
            <wp:docPr id="34" name="图片 34" descr="苏州工业园区人才信息枢纽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苏州工业园区人才信息枢纽4"/>
                    <pic:cNvPicPr>
                      <a:picLocks noChangeAspect="1"/>
                    </pic:cNvPicPr>
                  </pic:nvPicPr>
                  <pic:blipFill>
                    <a:blip r:embed="rId32"/>
                    <a:srcRect b="11239"/>
                    <a:stretch>
                      <a:fillRect/>
                    </a:stretch>
                  </pic:blipFill>
                  <pic:spPr>
                    <a:xfrm>
                      <a:off x="0" y="0"/>
                      <a:ext cx="5266690" cy="5566410"/>
                    </a:xfrm>
                    <a:prstGeom prst="rect">
                      <a:avLst/>
                    </a:prstGeom>
                    <a:noFill/>
                    <a:ln w="12700" cmpd="sng">
                      <a:solidFill>
                        <a:schemeClr val="bg1">
                          <a:lumMod val="75000"/>
                        </a:schemeClr>
                      </a:solidFill>
                      <a:prstDash val="solid"/>
                    </a:ln>
                  </pic:spPr>
                </pic:pic>
              </a:graphicData>
            </a:graphic>
          </wp:inline>
        </w:drawing>
      </w:r>
    </w:p>
    <w:p>
      <w:pPr>
        <w:bidi w:val="0"/>
        <w:rPr>
          <w:rFonts w:hint="eastAsia"/>
          <w:highlight w:val="none"/>
          <w:lang w:val="en-US" w:eastAsia="zh-CN"/>
        </w:rPr>
      </w:pPr>
      <w:r>
        <w:rPr>
          <w:rFonts w:hint="eastAsia"/>
          <w:highlight w:val="none"/>
          <w:lang w:val="en-US" w:eastAsia="zh-CN"/>
        </w:rPr>
        <w:t>上传完成后，申报单位即可点击页面中“保存并继续”，进入下一模块“检查并提交”。</w:t>
      </w:r>
    </w:p>
    <w:p>
      <w:pPr>
        <w:numPr>
          <w:ilvl w:val="0"/>
          <w:numId w:val="5"/>
        </w:numPr>
        <w:ind w:left="0" w:leftChars="0" w:firstLine="422" w:firstLineChars="175"/>
        <w:outlineLvl w:val="2"/>
        <w:rPr>
          <w:rFonts w:hint="eastAsia" w:asciiTheme="minorEastAsia" w:hAnsiTheme="minorEastAsia" w:eastAsiaTheme="minorEastAsia" w:cstheme="minorEastAsia"/>
          <w:b/>
          <w:bCs/>
          <w:kern w:val="2"/>
          <w:sz w:val="24"/>
          <w:szCs w:val="24"/>
          <w:highlight w:val="none"/>
          <w:lang w:val="en-US" w:eastAsia="zh-CN" w:bidi="ar-SA"/>
        </w:rPr>
      </w:pPr>
      <w:bookmarkStart w:id="14" w:name="_Toc29699"/>
      <w:r>
        <w:rPr>
          <w:rFonts w:hint="eastAsia" w:asciiTheme="minorEastAsia" w:hAnsiTheme="minorEastAsia" w:cstheme="minorEastAsia"/>
          <w:b/>
          <w:bCs/>
          <w:kern w:val="2"/>
          <w:sz w:val="24"/>
          <w:szCs w:val="24"/>
          <w:highlight w:val="none"/>
          <w:lang w:val="en-US" w:eastAsia="zh-CN" w:bidi="ar-SA"/>
        </w:rPr>
        <w:t>检查并提交</w:t>
      </w:r>
      <w:bookmarkEnd w:id="14"/>
    </w:p>
    <w:p>
      <w:pPr>
        <w:bidi w:val="0"/>
        <w:rPr>
          <w:rFonts w:hint="eastAsia"/>
          <w:highlight w:val="none"/>
          <w:lang w:val="en-US" w:eastAsia="zh-CN"/>
        </w:rPr>
      </w:pPr>
      <w:r>
        <w:rPr>
          <w:rFonts w:hint="eastAsia"/>
          <w:highlight w:val="none"/>
          <w:lang w:val="en-US" w:eastAsia="zh-CN"/>
        </w:rPr>
        <w:t>申报单位在检查并提交页面对申报信息、申报人信息、单位信息和附件信息，完成情况进行确认。</w:t>
      </w:r>
    </w:p>
    <w:p>
      <w:pPr>
        <w:bidi w:val="0"/>
        <w:rPr>
          <w:rFonts w:hint="default"/>
          <w:highlight w:val="none"/>
          <w:lang w:val="en-US" w:eastAsia="zh-CN"/>
        </w:rPr>
      </w:pPr>
      <w:r>
        <w:rPr>
          <w:rFonts w:hint="eastAsia"/>
          <w:highlight w:val="none"/>
          <w:lang w:val="en-US" w:eastAsia="zh-CN"/>
        </w:rPr>
        <w:t>需四部分均维护完成后，方可点击“提交”，提交申报。</w:t>
      </w:r>
    </w:p>
    <w:p>
      <w:pPr>
        <w:bidi w:val="0"/>
        <w:ind w:left="0" w:leftChars="0" w:firstLine="0" w:firstLineChars="0"/>
        <w:rPr>
          <w:rFonts w:hint="default"/>
          <w:highlight w:val="none"/>
          <w:lang w:val="en-US" w:eastAsia="zh-CN"/>
        </w:rPr>
      </w:pPr>
      <w:r>
        <w:drawing>
          <wp:inline distT="0" distB="0" distL="114300" distR="114300">
            <wp:extent cx="5269230" cy="2207260"/>
            <wp:effectExtent l="12700" t="12700" r="13970" b="15240"/>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33"/>
                    <a:stretch>
                      <a:fillRect/>
                    </a:stretch>
                  </pic:blipFill>
                  <pic:spPr>
                    <a:xfrm>
                      <a:off x="0" y="0"/>
                      <a:ext cx="5269230" cy="2207260"/>
                    </a:xfrm>
                    <a:prstGeom prst="rect">
                      <a:avLst/>
                    </a:prstGeom>
                    <a:noFill/>
                    <a:ln w="12700" cmpd="sng">
                      <a:solidFill>
                        <a:schemeClr val="bg1">
                          <a:lumMod val="75000"/>
                        </a:schemeClr>
                      </a:solidFill>
                      <a:prstDash val="solid"/>
                    </a:ln>
                  </pic:spPr>
                </pic:pic>
              </a:graphicData>
            </a:graphic>
          </wp:inline>
        </w:drawing>
      </w:r>
    </w:p>
    <w:p>
      <w:pPr>
        <w:bidi w:val="0"/>
        <w:ind w:left="0" w:leftChars="0" w:firstLine="0" w:firstLineChars="0"/>
        <w:rPr>
          <w:rFonts w:hint="default"/>
          <w:highlight w:val="none"/>
          <w:lang w:val="en-US" w:eastAsia="zh-CN"/>
        </w:rPr>
      </w:pPr>
      <w:r>
        <w:drawing>
          <wp:inline distT="0" distB="0" distL="114300" distR="114300">
            <wp:extent cx="5272405" cy="2247265"/>
            <wp:effectExtent l="12700" t="12700" r="23495" b="13335"/>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34"/>
                    <a:stretch>
                      <a:fillRect/>
                    </a:stretch>
                  </pic:blipFill>
                  <pic:spPr>
                    <a:xfrm>
                      <a:off x="0" y="0"/>
                      <a:ext cx="5272405" cy="2247265"/>
                    </a:xfrm>
                    <a:prstGeom prst="rect">
                      <a:avLst/>
                    </a:prstGeom>
                    <a:noFill/>
                    <a:ln w="12700" cmpd="sng">
                      <a:solidFill>
                        <a:schemeClr val="bg1">
                          <a:lumMod val="75000"/>
                        </a:schemeClr>
                      </a:solidFill>
                      <a:prstDash val="solid"/>
                    </a:ln>
                  </pic:spPr>
                </pic:pic>
              </a:graphicData>
            </a:graphic>
          </wp:inline>
        </w:drawing>
      </w:r>
    </w:p>
    <w:p>
      <w:pPr>
        <w:pStyle w:val="3"/>
        <w:numPr>
          <w:ilvl w:val="0"/>
          <w:numId w:val="2"/>
        </w:numPr>
        <w:spacing w:before="156" w:after="156" w:line="360" w:lineRule="auto"/>
        <w:ind w:firstLine="0" w:firstLineChars="0"/>
        <w:rPr>
          <w:rFonts w:hint="eastAsia" w:ascii="微软雅黑" w:hAnsi="微软雅黑" w:eastAsia="微软雅黑"/>
          <w:sz w:val="30"/>
          <w:szCs w:val="30"/>
          <w:highlight w:val="none"/>
        </w:rPr>
      </w:pPr>
      <w:bookmarkStart w:id="15" w:name="_Toc4430"/>
      <w:r>
        <w:rPr>
          <w:rFonts w:hint="eastAsia" w:ascii="微软雅黑" w:hAnsi="微软雅黑" w:eastAsia="微软雅黑"/>
          <w:sz w:val="30"/>
          <w:szCs w:val="30"/>
          <w:highlight w:val="none"/>
          <w:lang w:val="en-US" w:eastAsia="zh-CN"/>
        </w:rPr>
        <w:t>申报记录查看</w:t>
      </w:r>
      <w:bookmarkEnd w:id="15"/>
    </w:p>
    <w:p>
      <w:pPr>
        <w:ind w:left="0" w:leftChars="0" w:firstLine="420" w:firstLineChars="0"/>
        <w:jc w:val="left"/>
        <w:rPr>
          <w:rFonts w:hint="eastAsia" w:asciiTheme="minorEastAsia" w:hAnsiTheme="minorEastAsia" w:cstheme="minorEastAsia"/>
          <w:highlight w:val="none"/>
          <w:lang w:val="en-US" w:eastAsia="zh-CN"/>
        </w:rPr>
      </w:pPr>
      <w:r>
        <w:rPr>
          <w:rFonts w:hint="eastAsia"/>
          <w:highlight w:val="none"/>
          <w:lang w:val="en-US" w:eastAsia="zh-CN"/>
        </w:rPr>
        <w:t>申报单位将申报信息提交后，可在</w:t>
      </w:r>
      <w:r>
        <w:rPr>
          <w:rFonts w:hint="eastAsia" w:asciiTheme="minorEastAsia" w:hAnsiTheme="minorEastAsia" w:cstheme="minorEastAsia"/>
          <w:highlight w:val="none"/>
          <w:lang w:val="en-US" w:eastAsia="zh-CN"/>
        </w:rPr>
        <w:t>2020年园区金鸡湖人才申报首页中点击“申报记录”进入查看已提交的申报信息，并关注申报记录的审核进展。</w:t>
      </w:r>
    </w:p>
    <w:p>
      <w:pPr>
        <w:ind w:left="0" w:leftChars="0" w:firstLine="420" w:firstLineChars="0"/>
        <w:jc w:val="left"/>
        <w:rPr>
          <w:rFonts w:hint="eastAsia" w:asciiTheme="minorEastAsia" w:hAnsiTheme="minorEastAsia" w:cstheme="minorEastAsia"/>
          <w:highlight w:val="none"/>
          <w:lang w:val="en-US" w:eastAsia="zh-CN"/>
        </w:rPr>
      </w:pPr>
      <w:r>
        <w:rPr>
          <w:rFonts w:hint="eastAsia" w:asciiTheme="minorEastAsia" w:hAnsiTheme="minorEastAsia" w:cstheme="minorEastAsia"/>
          <w:highlight w:val="none"/>
          <w:lang w:val="en-US" w:eastAsia="zh-CN"/>
        </w:rPr>
        <w:t>若审核退回，可在列表中点击“详情”查看退回原因，再点击“修改”，并根据退回原因修改后重新提交。</w:t>
      </w:r>
    </w:p>
    <w:p>
      <w:pPr>
        <w:ind w:left="0" w:leftChars="0" w:firstLine="0" w:firstLineChars="0"/>
        <w:jc w:val="left"/>
        <w:rPr>
          <w:rFonts w:hint="default"/>
          <w:highlight w:val="yellow"/>
          <w:lang w:val="en-US" w:eastAsia="zh-CN"/>
        </w:rPr>
      </w:pPr>
      <w:r>
        <w:drawing>
          <wp:inline distT="0" distB="0" distL="114300" distR="114300">
            <wp:extent cx="5267960" cy="899160"/>
            <wp:effectExtent l="12700" t="12700" r="15240" b="1524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35"/>
                    <a:stretch>
                      <a:fillRect/>
                    </a:stretch>
                  </pic:blipFill>
                  <pic:spPr>
                    <a:xfrm>
                      <a:off x="0" y="0"/>
                      <a:ext cx="5267960" cy="899160"/>
                    </a:xfrm>
                    <a:prstGeom prst="rect">
                      <a:avLst/>
                    </a:prstGeom>
                    <a:noFill/>
                    <a:ln w="12700" cmpd="sng">
                      <a:solidFill>
                        <a:schemeClr val="bg1">
                          <a:lumMod val="75000"/>
                        </a:schemeClr>
                      </a:solidFill>
                      <a:prstDash val="solid"/>
                    </a:ln>
                  </pic:spPr>
                </pic:pic>
              </a:graphicData>
            </a:graphic>
          </wp:inline>
        </w:drawing>
      </w:r>
    </w:p>
    <w:p>
      <w:pPr>
        <w:pStyle w:val="3"/>
        <w:numPr>
          <w:ilvl w:val="0"/>
          <w:numId w:val="2"/>
        </w:numPr>
        <w:spacing w:before="156" w:after="156" w:line="360" w:lineRule="auto"/>
        <w:ind w:firstLine="0" w:firstLineChars="0"/>
        <w:rPr>
          <w:rFonts w:hint="eastAsia" w:ascii="微软雅黑" w:hAnsi="微软雅黑" w:eastAsia="微软雅黑"/>
          <w:sz w:val="30"/>
          <w:szCs w:val="30"/>
          <w:highlight w:val="none"/>
        </w:rPr>
      </w:pPr>
      <w:bookmarkStart w:id="16" w:name="_Toc26774"/>
      <w:r>
        <w:rPr>
          <w:rFonts w:hint="eastAsia" w:ascii="微软雅黑" w:hAnsi="微软雅黑" w:eastAsia="微软雅黑"/>
          <w:sz w:val="30"/>
          <w:szCs w:val="30"/>
          <w:highlight w:val="none"/>
          <w:lang w:val="en-US" w:eastAsia="zh-CN"/>
        </w:rPr>
        <w:t>申报书导出</w:t>
      </w:r>
      <w:bookmarkEnd w:id="16"/>
    </w:p>
    <w:p>
      <w:pPr>
        <w:rPr>
          <w:rFonts w:hint="eastAsia" w:asciiTheme="minorEastAsia" w:hAnsiTheme="minorEastAsia" w:cstheme="minorEastAsia"/>
          <w:highlight w:val="none"/>
          <w:lang w:val="en-US" w:eastAsia="zh-CN"/>
        </w:rPr>
      </w:pPr>
      <w:r>
        <w:rPr>
          <w:rFonts w:hint="eastAsia"/>
          <w:highlight w:val="none"/>
          <w:lang w:val="en-US" w:eastAsia="zh-CN"/>
        </w:rPr>
        <w:t>申报记录待业务主管部门审核通过后，</w:t>
      </w:r>
      <w:r>
        <w:rPr>
          <w:rFonts w:hint="eastAsia"/>
          <w:b/>
          <w:bCs/>
          <w:highlight w:val="none"/>
          <w:lang w:val="en-US" w:eastAsia="zh-CN"/>
        </w:rPr>
        <w:t>申报单位可根据各主管部门的要求</w:t>
      </w:r>
      <w:r>
        <w:rPr>
          <w:rFonts w:hint="eastAsia"/>
          <w:highlight w:val="none"/>
          <w:lang w:val="en-US" w:eastAsia="zh-CN"/>
        </w:rPr>
        <w:t>，若需要打印申报书则可进入系统，在</w:t>
      </w:r>
      <w:r>
        <w:rPr>
          <w:rFonts w:hint="eastAsia" w:asciiTheme="minorEastAsia" w:hAnsiTheme="minorEastAsia" w:cstheme="minorEastAsia"/>
          <w:highlight w:val="none"/>
          <w:lang w:val="en-US" w:eastAsia="zh-CN"/>
        </w:rPr>
        <w:t>“申报记录”列表中点击“导出”，即可导出申报书及相关附件材料，线下进行打印胶装。</w:t>
      </w:r>
    </w:p>
    <w:p>
      <w:pPr>
        <w:rPr>
          <w:rFonts w:hint="default" w:asciiTheme="minorEastAsia" w:hAnsiTheme="minorEastAsia" w:cstheme="minorEastAsia"/>
          <w:highlight w:val="none"/>
          <w:lang w:val="en-US" w:eastAsia="zh-CN"/>
        </w:rPr>
      </w:pPr>
      <w:r>
        <w:rPr>
          <w:rFonts w:hint="eastAsia" w:asciiTheme="minorEastAsia" w:hAnsiTheme="minorEastAsia" w:cstheme="minorEastAsia"/>
          <w:highlight w:val="none"/>
          <w:lang w:val="en-US" w:eastAsia="zh-CN"/>
        </w:rPr>
        <w:t>申报书样式以</w:t>
      </w:r>
      <w:r>
        <w:rPr>
          <w:rFonts w:hint="eastAsia" w:asciiTheme="minorEastAsia" w:hAnsiTheme="minorEastAsia" w:cstheme="minorEastAsia"/>
          <w:b/>
          <w:bCs/>
          <w:highlight w:val="none"/>
          <w:lang w:val="en-US" w:eastAsia="zh-CN"/>
        </w:rPr>
        <w:t>金鸡湖高端服务业人才-总部经济</w:t>
      </w:r>
      <w:r>
        <w:rPr>
          <w:rFonts w:hint="eastAsia" w:asciiTheme="minorEastAsia" w:hAnsiTheme="minorEastAsia" w:cstheme="minorEastAsia"/>
          <w:b w:val="0"/>
          <w:bCs w:val="0"/>
          <w:highlight w:val="none"/>
          <w:lang w:val="en-US" w:eastAsia="zh-CN"/>
        </w:rPr>
        <w:t>为</w:t>
      </w:r>
      <w:r>
        <w:rPr>
          <w:rFonts w:hint="eastAsia" w:asciiTheme="minorEastAsia" w:hAnsiTheme="minorEastAsia" w:cstheme="minorEastAsia"/>
          <w:highlight w:val="none"/>
          <w:lang w:val="en-US" w:eastAsia="zh-CN"/>
        </w:rPr>
        <w:t>例：</w:t>
      </w:r>
    </w:p>
    <w:p>
      <w:pPr>
        <w:ind w:left="0" w:leftChars="0" w:firstLine="0" w:firstLineChars="0"/>
        <w:jc w:val="center"/>
        <w:rPr>
          <w:rFonts w:hint="eastAsia" w:asciiTheme="minorEastAsia" w:hAnsiTheme="minorEastAsia" w:cstheme="minorEastAsia"/>
          <w:highlight w:val="none"/>
          <w:lang w:val="en-US" w:eastAsia="zh-CN"/>
        </w:rPr>
      </w:pPr>
      <w:r>
        <w:drawing>
          <wp:inline distT="0" distB="0" distL="114300" distR="114300">
            <wp:extent cx="4908550" cy="4845050"/>
            <wp:effectExtent l="12700" t="12700" r="19050" b="1905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36"/>
                    <a:stretch>
                      <a:fillRect/>
                    </a:stretch>
                  </pic:blipFill>
                  <pic:spPr>
                    <a:xfrm>
                      <a:off x="0" y="0"/>
                      <a:ext cx="4908550" cy="4845050"/>
                    </a:xfrm>
                    <a:prstGeom prst="rect">
                      <a:avLst/>
                    </a:prstGeom>
                    <a:noFill/>
                    <a:ln w="12700" cmpd="sng">
                      <a:solidFill>
                        <a:schemeClr val="bg1">
                          <a:lumMod val="75000"/>
                        </a:schemeClr>
                      </a:solidFill>
                      <a:prstDash val="solid"/>
                    </a:ln>
                  </pic:spPr>
                </pic:pic>
              </a:graphicData>
            </a:graphic>
          </wp:inline>
        </w:drawing>
      </w:r>
    </w:p>
    <w:p>
      <w:pPr>
        <w:pStyle w:val="2"/>
        <w:numPr>
          <w:ilvl w:val="0"/>
          <w:numId w:val="1"/>
        </w:numPr>
        <w:spacing w:before="156" w:after="156" w:line="360" w:lineRule="auto"/>
        <w:ind w:firstLine="0" w:firstLineChars="0"/>
        <w:rPr>
          <w:rFonts w:ascii="微软雅黑" w:hAnsi="微软雅黑" w:eastAsia="微软雅黑"/>
          <w:sz w:val="30"/>
          <w:szCs w:val="30"/>
          <w:highlight w:val="none"/>
        </w:rPr>
      </w:pPr>
      <w:bookmarkStart w:id="17" w:name="_Toc10614"/>
      <w:r>
        <w:rPr>
          <w:rFonts w:hint="eastAsia" w:ascii="微软雅黑" w:hAnsi="微软雅黑" w:eastAsia="微软雅黑"/>
          <w:sz w:val="30"/>
          <w:szCs w:val="30"/>
          <w:highlight w:val="none"/>
        </w:rPr>
        <w:t>系统技术支持</w:t>
      </w:r>
      <w:bookmarkEnd w:id="17"/>
    </w:p>
    <w:p>
      <w:pPr>
        <w:rPr>
          <w:rFonts w:hint="eastAsia"/>
          <w:highlight w:val="none"/>
          <w:lang w:val="en-US" w:eastAsia="zh-CN"/>
        </w:rPr>
      </w:pPr>
      <w:r>
        <w:rPr>
          <w:rFonts w:hint="eastAsia"/>
          <w:highlight w:val="none"/>
          <w:lang w:val="en-US" w:eastAsia="zh-CN"/>
        </w:rPr>
        <w:t>开发单位：苏州德融嘉信信用管理技术股份有限公司</w:t>
      </w:r>
    </w:p>
    <w:p>
      <w:pPr>
        <w:rPr>
          <w:rFonts w:hint="eastAsia"/>
          <w:highlight w:val="none"/>
          <w:lang w:val="en-US" w:eastAsia="zh-CN"/>
        </w:rPr>
      </w:pPr>
      <w:r>
        <w:rPr>
          <w:rFonts w:hint="eastAsia"/>
          <w:highlight w:val="none"/>
          <w:lang w:val="en-US" w:eastAsia="zh-CN"/>
        </w:rPr>
        <w:t>邮箱：</w:t>
      </w:r>
      <w:r>
        <w:rPr>
          <w:rFonts w:hint="eastAsia"/>
          <w:highlight w:val="none"/>
          <w:lang w:val="en-US" w:eastAsia="zh-CN"/>
        </w:rPr>
        <w:fldChar w:fldCharType="begin"/>
      </w:r>
      <w:r>
        <w:rPr>
          <w:rFonts w:hint="eastAsia"/>
          <w:highlight w:val="none"/>
          <w:lang w:val="en-US" w:eastAsia="zh-CN"/>
        </w:rPr>
        <w:instrText xml:space="preserve"> HYPERLINK "mailto:techsoft@sipac.gov.cn" </w:instrText>
      </w:r>
      <w:r>
        <w:rPr>
          <w:rFonts w:hint="eastAsia"/>
          <w:highlight w:val="none"/>
          <w:lang w:val="en-US" w:eastAsia="zh-CN"/>
        </w:rPr>
        <w:fldChar w:fldCharType="separate"/>
      </w:r>
      <w:r>
        <w:rPr>
          <w:rFonts w:hint="eastAsia"/>
          <w:highlight w:val="none"/>
          <w:lang w:val="en-US" w:eastAsia="zh-CN"/>
        </w:rPr>
        <w:t>techsoft@sipac.gov.cn</w:t>
      </w:r>
      <w:r>
        <w:rPr>
          <w:rFonts w:hint="eastAsia"/>
          <w:highlight w:val="none"/>
          <w:lang w:val="en-US" w:eastAsia="zh-CN"/>
        </w:rPr>
        <w:fldChar w:fldCharType="end"/>
      </w:r>
    </w:p>
    <w:p>
      <w:pPr>
        <w:rPr>
          <w:rFonts w:hint="eastAsia"/>
          <w:highlight w:val="none"/>
          <w:lang w:val="en-US" w:eastAsia="zh-CN"/>
        </w:rPr>
      </w:pPr>
      <w:r>
        <w:rPr>
          <w:rFonts w:hint="eastAsia"/>
          <w:highlight w:val="none"/>
          <w:lang w:val="en-US" w:eastAsia="zh-CN"/>
        </w:rPr>
        <w:t>电话：400-8696086</w:t>
      </w:r>
    </w:p>
    <w:p>
      <w:pPr>
        <w:rPr>
          <w:rFonts w:hint="eastAsia"/>
          <w:highlight w:val="none"/>
          <w:lang w:val="en-US" w:eastAsia="zh-CN"/>
        </w:rPr>
      </w:pPr>
      <w:r>
        <w:rPr>
          <w:rFonts w:hint="eastAsia"/>
          <w:highlight w:val="none"/>
          <w:lang w:val="en-US" w:eastAsia="zh-CN"/>
        </w:rPr>
        <w:t>技术支持QQ：2967266691</w:t>
      </w:r>
    </w:p>
    <w:sectPr>
      <w:headerReference r:id="rId11" w:type="first"/>
      <w:footerReference r:id="rId14" w:type="first"/>
      <w:headerReference r:id="rId9" w:type="default"/>
      <w:footerReference r:id="rId12" w:type="default"/>
      <w:headerReference r:id="rId10" w:type="even"/>
      <w:footerReference r:id="rId13" w:type="even"/>
      <w:pgSz w:w="11906" w:h="16838"/>
      <w:pgMar w:top="1440" w:right="1800" w:bottom="1440" w:left="1800" w:header="851" w:footer="992" w:gutter="0"/>
      <w:pgNumType w:fmt="decimal" w:start="2"/>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before="120" w:after="120"/>
      <w:ind w:firstLine="36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DzzfY5wQIAANYFAAAOAAAAAAAA&#10;AAEAIAAAAB8BAABkcnMvZTJvRG9jLnhtbFBLBQYAAAAABgAGAFkBAABSBg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before="120" w:after="1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before="120" w:after="120"/>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ufGT8ICAADWBQAADgAAAAAA&#10;AAABACAAAAAfAQAAZHJzL2Uyb0RvYy54bWxQSwUGAAAAAAYABgBZAQAAUwY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before="120" w:after="120"/>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before="120" w:after="12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after="120"/>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120" w:after="12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after="120"/>
      <w:ind w:firstLine="0" w:firstLineChars="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120" w:after="12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120" w:after="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262078"/>
    <w:multiLevelType w:val="singleLevel"/>
    <w:tmpl w:val="85262078"/>
    <w:lvl w:ilvl="0" w:tentative="0">
      <w:start w:val="1"/>
      <w:numFmt w:val="bullet"/>
      <w:lvlText w:val=""/>
      <w:lvlJc w:val="left"/>
      <w:pPr>
        <w:ind w:left="420" w:hanging="420"/>
      </w:pPr>
      <w:rPr>
        <w:rFonts w:hint="default" w:ascii="Wingdings" w:hAnsi="Wingdings"/>
      </w:rPr>
    </w:lvl>
  </w:abstractNum>
  <w:abstractNum w:abstractNumId="1">
    <w:nsid w:val="85970FC7"/>
    <w:multiLevelType w:val="singleLevel"/>
    <w:tmpl w:val="85970FC7"/>
    <w:lvl w:ilvl="0" w:tentative="0">
      <w:start w:val="1"/>
      <w:numFmt w:val="decimal"/>
      <w:suff w:val="nothing"/>
      <w:lvlText w:val="%1、"/>
      <w:lvlJc w:val="left"/>
    </w:lvl>
  </w:abstractNum>
  <w:abstractNum w:abstractNumId="2">
    <w:nsid w:val="859D807B"/>
    <w:multiLevelType w:val="singleLevel"/>
    <w:tmpl w:val="859D807B"/>
    <w:lvl w:ilvl="0" w:tentative="0">
      <w:start w:val="1"/>
      <w:numFmt w:val="bullet"/>
      <w:lvlText w:val=""/>
      <w:lvlJc w:val="left"/>
      <w:pPr>
        <w:ind w:left="420" w:hanging="420"/>
      </w:pPr>
      <w:rPr>
        <w:rFonts w:hint="default" w:ascii="Wingdings" w:hAnsi="Wingdings"/>
      </w:rPr>
    </w:lvl>
  </w:abstractNum>
  <w:abstractNum w:abstractNumId="3">
    <w:nsid w:val="EF9D0DE4"/>
    <w:multiLevelType w:val="singleLevel"/>
    <w:tmpl w:val="EF9D0DE4"/>
    <w:lvl w:ilvl="0" w:tentative="0">
      <w:start w:val="1"/>
      <w:numFmt w:val="decimal"/>
      <w:suff w:val="nothing"/>
      <w:lvlText w:val="（%1）"/>
      <w:lvlJc w:val="left"/>
    </w:lvl>
  </w:abstractNum>
  <w:abstractNum w:abstractNumId="4">
    <w:nsid w:val="1D9325F0"/>
    <w:multiLevelType w:val="singleLevel"/>
    <w:tmpl w:val="1D9325F0"/>
    <w:lvl w:ilvl="0" w:tentative="0">
      <w:start w:val="1"/>
      <w:numFmt w:val="bullet"/>
      <w:lvlText w:val=""/>
      <w:lvlJc w:val="left"/>
      <w:pPr>
        <w:ind w:left="420" w:hanging="420"/>
      </w:pPr>
      <w:rPr>
        <w:rFonts w:hint="default" w:ascii="Wingdings" w:hAnsi="Wingdings"/>
      </w:rPr>
    </w:lvl>
  </w:abstractNum>
  <w:abstractNum w:abstractNumId="5">
    <w:nsid w:val="58812EEE"/>
    <w:multiLevelType w:val="singleLevel"/>
    <w:tmpl w:val="58812EEE"/>
    <w:lvl w:ilvl="0" w:tentative="0">
      <w:start w:val="1"/>
      <w:numFmt w:val="chineseCounting"/>
      <w:suff w:val="nothing"/>
      <w:lvlText w:val="%1、"/>
      <w:lvlJc w:val="left"/>
    </w:lvl>
  </w:abstractNum>
  <w:abstractNum w:abstractNumId="6">
    <w:nsid w:val="63579D28"/>
    <w:multiLevelType w:val="singleLevel"/>
    <w:tmpl w:val="63579D28"/>
    <w:lvl w:ilvl="0" w:tentative="0">
      <w:start w:val="1"/>
      <w:numFmt w:val="bullet"/>
      <w:lvlText w:val=""/>
      <w:lvlJc w:val="left"/>
      <w:pPr>
        <w:ind w:left="420" w:hanging="420"/>
      </w:pPr>
      <w:rPr>
        <w:rFonts w:hint="default" w:ascii="Wingdings" w:hAnsi="Wingdings"/>
      </w:rPr>
    </w:lvl>
  </w:abstractNum>
  <w:num w:numId="1">
    <w:abstractNumId w:val="5"/>
  </w:num>
  <w:num w:numId="2">
    <w:abstractNumId w:val="1"/>
  </w:num>
  <w:num w:numId="3">
    <w:abstractNumId w:val="0"/>
  </w:num>
  <w:num w:numId="4">
    <w:abstractNumId w:val="4"/>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3C3"/>
    <w:rsid w:val="00015CBE"/>
    <w:rsid w:val="00063A54"/>
    <w:rsid w:val="000777B4"/>
    <w:rsid w:val="000C4A71"/>
    <w:rsid w:val="00147BCE"/>
    <w:rsid w:val="001545DC"/>
    <w:rsid w:val="00181CBF"/>
    <w:rsid w:val="00191408"/>
    <w:rsid w:val="00224CF6"/>
    <w:rsid w:val="00290D0C"/>
    <w:rsid w:val="002B5E49"/>
    <w:rsid w:val="002F4005"/>
    <w:rsid w:val="00325004"/>
    <w:rsid w:val="00333CE6"/>
    <w:rsid w:val="003E6E5F"/>
    <w:rsid w:val="004976BA"/>
    <w:rsid w:val="004B396A"/>
    <w:rsid w:val="00570BEB"/>
    <w:rsid w:val="005952F6"/>
    <w:rsid w:val="00630D66"/>
    <w:rsid w:val="00642C1B"/>
    <w:rsid w:val="00816AB6"/>
    <w:rsid w:val="00843E59"/>
    <w:rsid w:val="008650F6"/>
    <w:rsid w:val="008848ED"/>
    <w:rsid w:val="00901279"/>
    <w:rsid w:val="00965940"/>
    <w:rsid w:val="009F6976"/>
    <w:rsid w:val="00A8412A"/>
    <w:rsid w:val="00B61D40"/>
    <w:rsid w:val="00BF1BE6"/>
    <w:rsid w:val="00C63654"/>
    <w:rsid w:val="00C7736F"/>
    <w:rsid w:val="00CA4F9C"/>
    <w:rsid w:val="00CC627D"/>
    <w:rsid w:val="00D22A9A"/>
    <w:rsid w:val="00DA29C2"/>
    <w:rsid w:val="00DD13C3"/>
    <w:rsid w:val="00E92C19"/>
    <w:rsid w:val="00EE7DA3"/>
    <w:rsid w:val="00F061B2"/>
    <w:rsid w:val="00F63AF2"/>
    <w:rsid w:val="00FA4E4F"/>
    <w:rsid w:val="00FB5EDC"/>
    <w:rsid w:val="01AF5E07"/>
    <w:rsid w:val="01CD5B3D"/>
    <w:rsid w:val="046F206E"/>
    <w:rsid w:val="04CE1560"/>
    <w:rsid w:val="0554165F"/>
    <w:rsid w:val="061933FF"/>
    <w:rsid w:val="08455E93"/>
    <w:rsid w:val="088F2198"/>
    <w:rsid w:val="089A13BB"/>
    <w:rsid w:val="090A5CEB"/>
    <w:rsid w:val="0A5A1028"/>
    <w:rsid w:val="0A8A6104"/>
    <w:rsid w:val="0B5F1A22"/>
    <w:rsid w:val="0CA3243C"/>
    <w:rsid w:val="0DC77776"/>
    <w:rsid w:val="0F5E466D"/>
    <w:rsid w:val="10BC1015"/>
    <w:rsid w:val="122A44AA"/>
    <w:rsid w:val="131A3334"/>
    <w:rsid w:val="13FD4B53"/>
    <w:rsid w:val="14705EB0"/>
    <w:rsid w:val="1494277D"/>
    <w:rsid w:val="14D47252"/>
    <w:rsid w:val="15FD2804"/>
    <w:rsid w:val="1609514D"/>
    <w:rsid w:val="172F211D"/>
    <w:rsid w:val="17842AFB"/>
    <w:rsid w:val="18211790"/>
    <w:rsid w:val="187127DC"/>
    <w:rsid w:val="187C1CF4"/>
    <w:rsid w:val="18D76671"/>
    <w:rsid w:val="19566C62"/>
    <w:rsid w:val="1A63410F"/>
    <w:rsid w:val="1C146413"/>
    <w:rsid w:val="1C581E49"/>
    <w:rsid w:val="1E1B306E"/>
    <w:rsid w:val="1E2675CA"/>
    <w:rsid w:val="1E445181"/>
    <w:rsid w:val="1E831C3B"/>
    <w:rsid w:val="1FE41856"/>
    <w:rsid w:val="20AB4D66"/>
    <w:rsid w:val="2197016E"/>
    <w:rsid w:val="22444B77"/>
    <w:rsid w:val="225F7CDE"/>
    <w:rsid w:val="2359203D"/>
    <w:rsid w:val="23EC351D"/>
    <w:rsid w:val="24D43CD2"/>
    <w:rsid w:val="256C73E4"/>
    <w:rsid w:val="26315037"/>
    <w:rsid w:val="268463BE"/>
    <w:rsid w:val="275C1935"/>
    <w:rsid w:val="27C25C27"/>
    <w:rsid w:val="28330D1C"/>
    <w:rsid w:val="28866F0E"/>
    <w:rsid w:val="28A4511E"/>
    <w:rsid w:val="298B6EAD"/>
    <w:rsid w:val="29C70DBD"/>
    <w:rsid w:val="29D26762"/>
    <w:rsid w:val="2B3A7930"/>
    <w:rsid w:val="2B656733"/>
    <w:rsid w:val="2D9307B6"/>
    <w:rsid w:val="2E1B4CCF"/>
    <w:rsid w:val="2F114FF1"/>
    <w:rsid w:val="2F417EBF"/>
    <w:rsid w:val="3079497A"/>
    <w:rsid w:val="31360E98"/>
    <w:rsid w:val="313A07C7"/>
    <w:rsid w:val="314D6B50"/>
    <w:rsid w:val="315967EB"/>
    <w:rsid w:val="31EC2EDF"/>
    <w:rsid w:val="32B809A6"/>
    <w:rsid w:val="33D306DC"/>
    <w:rsid w:val="36383D85"/>
    <w:rsid w:val="36402938"/>
    <w:rsid w:val="36D61A9C"/>
    <w:rsid w:val="377B0021"/>
    <w:rsid w:val="37DA7F4F"/>
    <w:rsid w:val="37E11217"/>
    <w:rsid w:val="38477411"/>
    <w:rsid w:val="386C7B22"/>
    <w:rsid w:val="39203FBF"/>
    <w:rsid w:val="394360DE"/>
    <w:rsid w:val="39935D14"/>
    <w:rsid w:val="3A273AAD"/>
    <w:rsid w:val="3A3E6876"/>
    <w:rsid w:val="3A551186"/>
    <w:rsid w:val="3BF72004"/>
    <w:rsid w:val="3C745F5A"/>
    <w:rsid w:val="3CDF164B"/>
    <w:rsid w:val="3D654563"/>
    <w:rsid w:val="3DAF587A"/>
    <w:rsid w:val="3E6C738F"/>
    <w:rsid w:val="400D01BE"/>
    <w:rsid w:val="403E2840"/>
    <w:rsid w:val="406F42D7"/>
    <w:rsid w:val="40F65EAE"/>
    <w:rsid w:val="41860489"/>
    <w:rsid w:val="41AD08C4"/>
    <w:rsid w:val="42544BB1"/>
    <w:rsid w:val="42744389"/>
    <w:rsid w:val="45080D43"/>
    <w:rsid w:val="454A6CEA"/>
    <w:rsid w:val="46874DFE"/>
    <w:rsid w:val="46B90597"/>
    <w:rsid w:val="46F84A5E"/>
    <w:rsid w:val="47126C21"/>
    <w:rsid w:val="47D464C3"/>
    <w:rsid w:val="48205398"/>
    <w:rsid w:val="48E608BA"/>
    <w:rsid w:val="49330868"/>
    <w:rsid w:val="49816E47"/>
    <w:rsid w:val="49D837D8"/>
    <w:rsid w:val="4A374CE4"/>
    <w:rsid w:val="4A5B48BE"/>
    <w:rsid w:val="4AB7536D"/>
    <w:rsid w:val="4AE456B0"/>
    <w:rsid w:val="4AFD69C7"/>
    <w:rsid w:val="4B7539D3"/>
    <w:rsid w:val="4BDC1DED"/>
    <w:rsid w:val="4D2D2EF3"/>
    <w:rsid w:val="4DDB00BB"/>
    <w:rsid w:val="4DFE6221"/>
    <w:rsid w:val="4E0B25F8"/>
    <w:rsid w:val="505D4FEB"/>
    <w:rsid w:val="50A338C0"/>
    <w:rsid w:val="515541FF"/>
    <w:rsid w:val="518E7197"/>
    <w:rsid w:val="52BF0A5C"/>
    <w:rsid w:val="54E76429"/>
    <w:rsid w:val="55BF4951"/>
    <w:rsid w:val="56684A8A"/>
    <w:rsid w:val="567F40C1"/>
    <w:rsid w:val="57637C5C"/>
    <w:rsid w:val="579F2037"/>
    <w:rsid w:val="585D506B"/>
    <w:rsid w:val="587E6C17"/>
    <w:rsid w:val="58AC006D"/>
    <w:rsid w:val="58D427AA"/>
    <w:rsid w:val="5A942D0A"/>
    <w:rsid w:val="5C4F1A43"/>
    <w:rsid w:val="5E014A97"/>
    <w:rsid w:val="5F5C75CE"/>
    <w:rsid w:val="5FDC6ED3"/>
    <w:rsid w:val="60B865BB"/>
    <w:rsid w:val="611C60CA"/>
    <w:rsid w:val="61215E5D"/>
    <w:rsid w:val="61CA4EB4"/>
    <w:rsid w:val="61D46566"/>
    <w:rsid w:val="62351CAE"/>
    <w:rsid w:val="62C20029"/>
    <w:rsid w:val="62C47F15"/>
    <w:rsid w:val="63605E1C"/>
    <w:rsid w:val="638D6FA5"/>
    <w:rsid w:val="63F668CE"/>
    <w:rsid w:val="64D56156"/>
    <w:rsid w:val="65206C73"/>
    <w:rsid w:val="66D92367"/>
    <w:rsid w:val="67620D9C"/>
    <w:rsid w:val="684F610D"/>
    <w:rsid w:val="68711FAF"/>
    <w:rsid w:val="69350893"/>
    <w:rsid w:val="69BC0DD9"/>
    <w:rsid w:val="6C73326B"/>
    <w:rsid w:val="6CFF3500"/>
    <w:rsid w:val="6D383C74"/>
    <w:rsid w:val="6D8D1ED4"/>
    <w:rsid w:val="6DA324D2"/>
    <w:rsid w:val="6EBF0EA9"/>
    <w:rsid w:val="6F5D771C"/>
    <w:rsid w:val="71515F96"/>
    <w:rsid w:val="717C5E2C"/>
    <w:rsid w:val="72410792"/>
    <w:rsid w:val="72BC6DC5"/>
    <w:rsid w:val="730D7CF0"/>
    <w:rsid w:val="7377559E"/>
    <w:rsid w:val="73D669C1"/>
    <w:rsid w:val="741C24B4"/>
    <w:rsid w:val="74EE4BC5"/>
    <w:rsid w:val="75582255"/>
    <w:rsid w:val="75D047F3"/>
    <w:rsid w:val="75F748C5"/>
    <w:rsid w:val="7628590D"/>
    <w:rsid w:val="77B953A6"/>
    <w:rsid w:val="77C843B0"/>
    <w:rsid w:val="79E707C9"/>
    <w:rsid w:val="79FF4A76"/>
    <w:rsid w:val="7A517C84"/>
    <w:rsid w:val="7AF82B7F"/>
    <w:rsid w:val="7BDF2782"/>
    <w:rsid w:val="7CD04B18"/>
    <w:rsid w:val="7D683C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50" w:beforeLines="50" w:after="50" w:afterLines="50" w:line="360" w:lineRule="auto"/>
      <w:ind w:firstLine="200" w:firstLineChars="200"/>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qFormat/>
    <w:uiPriority w:val="9"/>
    <w:pPr>
      <w:keepNext/>
      <w:keepLines/>
      <w:spacing w:before="340" w:beforeLines="0" w:after="330" w:afterLines="0" w:line="576" w:lineRule="auto"/>
      <w:outlineLvl w:val="0"/>
    </w:pPr>
    <w:rPr>
      <w:b/>
      <w:kern w:val="44"/>
      <w:sz w:val="44"/>
    </w:rPr>
  </w:style>
  <w:style w:type="paragraph" w:styleId="3">
    <w:name w:val="heading 2"/>
    <w:basedOn w:val="1"/>
    <w:next w:val="1"/>
    <w:link w:val="1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semiHidden/>
    <w:unhideWhenUsed/>
    <w:qFormat/>
    <w:uiPriority w:val="39"/>
    <w:pPr>
      <w:ind w:left="840" w:leftChars="400"/>
    </w:pPr>
  </w:style>
  <w:style w:type="paragraph" w:styleId="6">
    <w:name w:val="Balloon Text"/>
    <w:basedOn w:val="1"/>
    <w:link w:val="19"/>
    <w:semiHidden/>
    <w:unhideWhenUsed/>
    <w:qFormat/>
    <w:uiPriority w:val="99"/>
    <w:pPr>
      <w:spacing w:before="0" w:after="0" w:line="240" w:lineRule="auto"/>
    </w:pPr>
    <w:rPr>
      <w:sz w:val="18"/>
      <w:szCs w:val="18"/>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unhideWhenUsed/>
    <w:uiPriority w:val="39"/>
  </w:style>
  <w:style w:type="paragraph" w:styleId="10">
    <w:name w:val="toc 2"/>
    <w:basedOn w:val="1"/>
    <w:next w:val="1"/>
    <w:semiHidden/>
    <w:unhideWhenUsed/>
    <w:uiPriority w:val="39"/>
    <w:pPr>
      <w:ind w:left="420" w:leftChars="200"/>
    </w:pPr>
  </w:style>
  <w:style w:type="character" w:styleId="13">
    <w:name w:val="Hyperlink"/>
    <w:basedOn w:val="12"/>
    <w:unhideWhenUsed/>
    <w:qFormat/>
    <w:uiPriority w:val="99"/>
    <w:rPr>
      <w:color w:val="0000FF" w:themeColor="hyperlink"/>
      <w:u w:val="single"/>
      <w14:textFill>
        <w14:solidFill>
          <w14:schemeClr w14:val="hlink"/>
        </w14:solidFill>
      </w14:textFill>
    </w:rPr>
  </w:style>
  <w:style w:type="character" w:customStyle="1" w:styleId="14">
    <w:name w:val="标题 2 字符"/>
    <w:basedOn w:val="12"/>
    <w:link w:val="3"/>
    <w:qFormat/>
    <w:uiPriority w:val="9"/>
    <w:rPr>
      <w:rFonts w:asciiTheme="majorHAnsi" w:hAnsiTheme="majorHAnsi" w:eastAsiaTheme="majorEastAsia" w:cstheme="majorBidi"/>
      <w:b/>
      <w:bCs/>
      <w:sz w:val="32"/>
      <w:szCs w:val="32"/>
    </w:rPr>
  </w:style>
  <w:style w:type="paragraph" w:customStyle="1" w:styleId="15">
    <w:name w:val="列出段落1"/>
    <w:basedOn w:val="1"/>
    <w:qFormat/>
    <w:uiPriority w:val="34"/>
    <w:pPr>
      <w:ind w:firstLine="420"/>
    </w:pPr>
  </w:style>
  <w:style w:type="paragraph" w:styleId="16">
    <w:name w:val="List Paragraph"/>
    <w:basedOn w:val="1"/>
    <w:qFormat/>
    <w:uiPriority w:val="34"/>
    <w:pPr>
      <w:ind w:firstLine="420"/>
    </w:pPr>
  </w:style>
  <w:style w:type="character" w:customStyle="1" w:styleId="17">
    <w:name w:val="页眉 字符"/>
    <w:basedOn w:val="12"/>
    <w:link w:val="8"/>
    <w:qFormat/>
    <w:uiPriority w:val="99"/>
    <w:rPr>
      <w:sz w:val="18"/>
      <w:szCs w:val="18"/>
    </w:rPr>
  </w:style>
  <w:style w:type="character" w:customStyle="1" w:styleId="18">
    <w:name w:val="页脚 字符"/>
    <w:basedOn w:val="12"/>
    <w:link w:val="7"/>
    <w:qFormat/>
    <w:uiPriority w:val="99"/>
    <w:rPr>
      <w:sz w:val="18"/>
      <w:szCs w:val="18"/>
    </w:rPr>
  </w:style>
  <w:style w:type="character" w:customStyle="1" w:styleId="19">
    <w:name w:val="批注框文本 字符"/>
    <w:basedOn w:val="12"/>
    <w:link w:val="6"/>
    <w:semiHidden/>
    <w:qFormat/>
    <w:uiPriority w:val="99"/>
    <w:rPr>
      <w:kern w:val="2"/>
      <w:sz w:val="18"/>
      <w:szCs w:val="18"/>
    </w:rPr>
  </w:style>
  <w:style w:type="character" w:customStyle="1" w:styleId="20">
    <w:name w:val="Unresolved Mention"/>
    <w:basedOn w:val="1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241</Words>
  <Characters>1380</Characters>
  <Lines>11</Lines>
  <Paragraphs>3</Paragraphs>
  <TotalTime>239</TotalTime>
  <ScaleCrop>false</ScaleCrop>
  <LinksUpToDate>false</LinksUpToDate>
  <CharactersWithSpaces>1618</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2018-01-18T08:47:00Z</dcterms:created>
  <dc:creator>hongyalan</dc:creator>
  <cp:lastModifiedBy>Rhea ju</cp:lastModifiedBy>
  <dcterms:modified xsi:type="dcterms:W3CDTF">2020-09-29T07:56:06Z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