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440" w:firstLineChars="100"/>
        <w:jc w:val="center"/>
        <w:rPr>
          <w:rFonts w:ascii="方正小标宋_GBK" w:hAnsi="宋体" w:eastAsia="方正小标宋_GBK"/>
          <w:bCs/>
          <w:color w:val="000000" w:themeColor="text1"/>
          <w:sz w:val="44"/>
          <w:szCs w:val="44"/>
          <w14:textFill>
            <w14:solidFill>
              <w14:schemeClr w14:val="tx1"/>
            </w14:solidFill>
          </w14:textFill>
        </w:rPr>
      </w:pPr>
      <w:r>
        <w:rPr>
          <w:rFonts w:hint="eastAsia" w:ascii="方正小标宋_GBK" w:hAnsi="宋体" w:eastAsia="方正小标宋_GBK"/>
          <w:bCs/>
          <w:color w:val="000000" w:themeColor="text1"/>
          <w:sz w:val="44"/>
          <w:szCs w:val="44"/>
          <w14:textFill>
            <w14:solidFill>
              <w14:schemeClr w14:val="tx1"/>
            </w14:solidFill>
          </w14:textFill>
        </w:rPr>
        <w:t>2022年度苏州市知识产权海外预警</w:t>
      </w:r>
    </w:p>
    <w:p>
      <w:pPr>
        <w:spacing w:line="580" w:lineRule="exact"/>
        <w:ind w:firstLine="440" w:firstLineChars="100"/>
        <w:jc w:val="center"/>
        <w:rPr>
          <w:rFonts w:ascii="方正小标宋_GBK" w:hAnsi="宋体" w:eastAsia="方正小标宋_GBK"/>
          <w:bCs/>
          <w:color w:val="000000" w:themeColor="text1"/>
          <w:sz w:val="44"/>
          <w:szCs w:val="44"/>
          <w14:textFill>
            <w14:solidFill>
              <w14:schemeClr w14:val="tx1"/>
            </w14:solidFill>
          </w14:textFill>
        </w:rPr>
      </w:pPr>
      <w:r>
        <w:rPr>
          <w:rFonts w:hint="eastAsia" w:ascii="方正小标宋_GBK" w:hAnsi="宋体" w:eastAsia="方正小标宋_GBK"/>
          <w:bCs/>
          <w:color w:val="000000" w:themeColor="text1"/>
          <w:sz w:val="44"/>
          <w:szCs w:val="44"/>
          <w14:textFill>
            <w14:solidFill>
              <w14:schemeClr w14:val="tx1"/>
            </w14:solidFill>
          </w14:textFill>
        </w:rPr>
        <w:t>项目申报指南</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贯彻落实国家、省关于强化知识产权工作的决策部署，全面深化知识产权强市建设，以知识产权高质量发展助力苏州经济社会高质量发展，根据市政府办公室《苏州市知识产权高质量发展三年行动计划（2021～2023年）》</w:t>
      </w:r>
      <w:r>
        <w:rPr>
          <w:rFonts w:hint="eastAsia" w:ascii="仿宋_GB2312" w:hAnsi="Times New Roman" w:eastAsia="仿宋_GB2312"/>
          <w:sz w:val="32"/>
          <w:szCs w:val="32"/>
        </w:rPr>
        <w:t>（苏府办〔2021〕136号）、</w:t>
      </w:r>
      <w:r>
        <w:rPr>
          <w:rFonts w:hint="eastAsia" w:ascii="仿宋_GB2312" w:eastAsia="仿宋_GB2312"/>
          <w:color w:val="000000" w:themeColor="text1"/>
          <w:sz w:val="32"/>
          <w:szCs w:val="32"/>
          <w14:textFill>
            <w14:solidFill>
              <w14:schemeClr w14:val="tx1"/>
            </w14:solidFill>
          </w14:textFill>
        </w:rPr>
        <w:t>《苏州市市级市场监管（知识产权）专项资金管理办法》（</w:t>
      </w:r>
      <w:r>
        <w:rPr>
          <w:rFonts w:hint="eastAsia" w:ascii="仿宋_GB2312" w:hAnsi="Times New Roman" w:eastAsia="仿宋_GB2312"/>
          <w:sz w:val="32"/>
          <w:szCs w:val="32"/>
        </w:rPr>
        <w:t>苏财规〔2021〕</w:t>
      </w:r>
      <w:r>
        <w:rPr>
          <w:rFonts w:ascii="仿宋_GB2312" w:hAnsi="Times New Roman" w:eastAsia="仿宋_GB2312"/>
          <w:sz w:val="32"/>
          <w:szCs w:val="32"/>
        </w:rPr>
        <w:t>3</w:t>
      </w:r>
      <w:r>
        <w:rPr>
          <w:rFonts w:hint="eastAsia" w:ascii="仿宋_GB2312" w:hAnsi="Times New Roman" w:eastAsia="仿宋_GB2312"/>
          <w:sz w:val="32"/>
          <w:szCs w:val="32"/>
        </w:rPr>
        <w:t>号</w:t>
      </w:r>
      <w:r>
        <w:rPr>
          <w:rFonts w:hint="eastAsia" w:ascii="仿宋_GB2312" w:eastAsia="仿宋_GB2312"/>
          <w:color w:val="000000" w:themeColor="text1"/>
          <w:sz w:val="32"/>
          <w:szCs w:val="32"/>
          <w14:textFill>
            <w14:solidFill>
              <w14:schemeClr w14:val="tx1"/>
            </w14:solidFill>
          </w14:textFill>
        </w:rPr>
        <w:t>）要求，市市场监管局（知识产权局）决定开展企业知识产权海外预警分析工作，并制定本申报指南。</w:t>
      </w:r>
    </w:p>
    <w:p>
      <w:pPr>
        <w:spacing w:line="580" w:lineRule="exact"/>
        <w:ind w:firstLine="643" w:firstLineChars="200"/>
        <w:jc w:val="left"/>
        <w:rPr>
          <w:rFonts w:ascii="仿宋_GB2312" w:eastAsia="仿宋_GB2312"/>
          <w:b/>
          <w:bCs/>
          <w:color w:val="000000" w:themeColor="text1"/>
          <w:sz w:val="24"/>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一、实施目标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企业知识产权海外预警项目遵循“公开申报，专家评审，择优支持，注重实效”的原则，2</w:t>
      </w:r>
      <w:r>
        <w:rPr>
          <w:rFonts w:ascii="仿宋_GB2312" w:eastAsia="仿宋_GB2312"/>
          <w:color w:val="000000" w:themeColor="text1"/>
          <w:sz w:val="32"/>
          <w:szCs w:val="32"/>
          <w14:textFill>
            <w14:solidFill>
              <w14:schemeClr w14:val="tx1"/>
            </w14:solidFill>
          </w14:textFill>
        </w:rPr>
        <w:t>022</w:t>
      </w:r>
      <w:r>
        <w:rPr>
          <w:rFonts w:hint="eastAsia" w:ascii="仿宋_GB2312" w:eastAsia="仿宋_GB2312"/>
          <w:color w:val="000000" w:themeColor="text1"/>
          <w:sz w:val="32"/>
          <w:szCs w:val="32"/>
          <w14:textFill>
            <w14:solidFill>
              <w14:schemeClr w14:val="tx1"/>
            </w14:solidFill>
          </w14:textFill>
        </w:rPr>
        <w:t>年计划通过公开招标购买服务的方式，对全市5</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家有海外市场或海外业务需求的企业提供知识产权海外预警分析服务，帮助企业进行海外知识产权风险排查与预警分析，防范知识产权国际风险。</w:t>
      </w:r>
    </w:p>
    <w:p>
      <w:pPr>
        <w:spacing w:line="580" w:lineRule="exact"/>
        <w:ind w:firstLine="643" w:firstLineChars="200"/>
        <w:jc w:val="left"/>
        <w:rPr>
          <w:rFonts w:ascii="仿宋_GB2312" w:eastAsia="仿宋_GB2312"/>
          <w:b/>
          <w:bCs/>
          <w:color w:val="000000" w:themeColor="text1"/>
          <w:sz w:val="24"/>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二、支持重点</w:t>
      </w:r>
    </w:p>
    <w:p>
      <w:pPr>
        <w:spacing w:line="54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聚焦我市数字经济时代电子信息、装备制造、生物医药、先进材料等重点产业创新集群的核心技术、关键共性技术领域。</w:t>
      </w:r>
    </w:p>
    <w:p>
      <w:pPr>
        <w:pStyle w:val="5"/>
        <w:spacing w:line="580" w:lineRule="exact"/>
        <w:ind w:firstLine="66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（二）重点支持</w:t>
      </w:r>
      <w:r>
        <w:rPr>
          <w:rFonts w:hint="eastAsia" w:ascii="仿宋_GB2312" w:eastAsia="仿宋_GB2312"/>
          <w:color w:val="000000" w:themeColor="text1"/>
          <w:sz w:val="32"/>
          <w:szCs w:val="32"/>
          <w:lang w:eastAsia="zh-CN"/>
          <w14:textFill>
            <w14:solidFill>
              <w14:schemeClr w14:val="tx1"/>
            </w14:solidFill>
          </w14:textFill>
        </w:rPr>
        <w:t>我市知识产权优势企业、</w:t>
      </w:r>
      <w:r>
        <w:rPr>
          <w:rFonts w:hint="eastAsia" w:ascii="仿宋_GB2312" w:eastAsia="仿宋_GB2312"/>
          <w:color w:val="000000" w:themeColor="text1"/>
          <w:sz w:val="32"/>
          <w:szCs w:val="32"/>
          <w14:textFill>
            <w14:solidFill>
              <w14:schemeClr w14:val="tx1"/>
            </w14:solidFill>
          </w14:textFill>
        </w:rPr>
        <w:t>高新技术企业、创新创业人才项目企业、市级及以上专精特新“小巨人”企业、</w:t>
      </w:r>
      <w:r>
        <w:rPr>
          <w:rFonts w:hint="eastAsia" w:ascii="仿宋" w:hAnsi="仿宋" w:eastAsia="仿宋" w:cs="仿宋"/>
          <w:bCs/>
          <w:color w:val="000000" w:themeColor="text1"/>
          <w:sz w:val="32"/>
          <w:szCs w:val="32"/>
          <w14:textFill>
            <w14:solidFill>
              <w14:schemeClr w14:val="tx1"/>
            </w14:solidFill>
          </w14:textFill>
        </w:rPr>
        <w:t>高成长创新型培育企业</w:t>
      </w:r>
      <w:r>
        <w:rPr>
          <w:rFonts w:hint="eastAsia" w:ascii="仿宋_GB2312" w:eastAsia="仿宋_GB2312"/>
          <w:color w:val="000000" w:themeColor="text1"/>
          <w:sz w:val="32"/>
          <w:szCs w:val="32"/>
          <w14:textFill>
            <w14:solidFill>
              <w14:schemeClr w14:val="tx1"/>
            </w14:solidFill>
          </w14:textFill>
        </w:rPr>
        <w:t>、瞪羚企业、独角兽企业、</w:t>
      </w:r>
      <w:r>
        <w:rPr>
          <w:rFonts w:ascii="仿宋_GB2312" w:eastAsia="仿宋_GB2312"/>
          <w:color w:val="000000" w:themeColor="text1"/>
          <w:sz w:val="32"/>
          <w:szCs w:val="32"/>
          <w14:textFill>
            <w14:solidFill>
              <w14:schemeClr w14:val="tx1"/>
            </w14:solidFill>
          </w14:textFill>
        </w:rPr>
        <w:t>知名品牌企业</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有自主品牌出</w:t>
      </w:r>
      <w:r>
        <w:rPr>
          <w:rFonts w:hint="eastAsia" w:ascii="仿宋_GB2312" w:eastAsia="仿宋_GB2312"/>
          <w:color w:val="000000" w:themeColor="text1"/>
          <w:sz w:val="32"/>
          <w:szCs w:val="32"/>
          <w14:textFill>
            <w14:solidFill>
              <w14:schemeClr w14:val="tx1"/>
            </w14:solidFill>
          </w14:textFill>
        </w:rPr>
        <w:t>口</w:t>
      </w:r>
      <w:r>
        <w:rPr>
          <w:rFonts w:hint="eastAsia" w:ascii="仿宋_GB2312" w:eastAsia="仿宋_GB2312"/>
          <w:color w:val="000000" w:themeColor="text1"/>
          <w:sz w:val="32"/>
          <w:szCs w:val="32"/>
          <w:lang w:eastAsia="zh-CN"/>
          <w14:textFill>
            <w14:solidFill>
              <w14:schemeClr w14:val="tx1"/>
            </w14:solidFill>
          </w14:textFill>
        </w:rPr>
        <w:t>的</w:t>
      </w:r>
      <w:r>
        <w:rPr>
          <w:rFonts w:ascii="仿宋_GB2312" w:eastAsia="仿宋_GB2312"/>
          <w:color w:val="000000" w:themeColor="text1"/>
          <w:sz w:val="32"/>
          <w:szCs w:val="32"/>
          <w14:textFill>
            <w14:solidFill>
              <w14:schemeClr w14:val="tx1"/>
            </w14:solidFill>
          </w14:textFill>
        </w:rPr>
        <w:t>企业</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依靠核心技术发明专利</w:t>
      </w:r>
      <w:r>
        <w:rPr>
          <w:rFonts w:hint="eastAsia" w:ascii="仿宋_GB2312" w:eastAsia="仿宋_GB2312"/>
          <w:color w:val="000000" w:themeColor="text1"/>
          <w:sz w:val="32"/>
          <w:szCs w:val="32"/>
          <w:lang w:eastAsia="zh-CN"/>
          <w14:textFill>
            <w14:solidFill>
              <w14:schemeClr w14:val="tx1"/>
            </w14:solidFill>
          </w14:textFill>
        </w:rPr>
        <w:t>或高知名品牌</w:t>
      </w:r>
      <w:r>
        <w:rPr>
          <w:rFonts w:hint="eastAsia" w:ascii="仿宋_GB2312" w:eastAsia="仿宋_GB2312"/>
          <w:color w:val="000000" w:themeColor="text1"/>
          <w:sz w:val="32"/>
          <w:szCs w:val="32"/>
          <w14:textFill>
            <w14:solidFill>
              <w14:schemeClr w14:val="tx1"/>
            </w14:solidFill>
          </w14:textFill>
        </w:rPr>
        <w:t>获得市场竞争优势的创新型中小型企业等，</w:t>
      </w:r>
      <w:r>
        <w:rPr>
          <w:rFonts w:hint="eastAsia" w:ascii="仿宋_GB2312" w:eastAsia="仿宋_GB2312"/>
          <w:color w:val="000000" w:themeColor="text1"/>
          <w:sz w:val="32"/>
          <w:szCs w:val="32"/>
          <w:lang w:eastAsia="zh-CN"/>
          <w14:textFill>
            <w14:solidFill>
              <w14:schemeClr w14:val="tx1"/>
            </w14:solidFill>
          </w14:textFill>
        </w:rPr>
        <w:t>以及</w:t>
      </w:r>
      <w:r>
        <w:rPr>
          <w:rFonts w:ascii="仿宋_GB2312" w:eastAsia="仿宋_GB2312"/>
          <w:color w:val="000000" w:themeColor="text1"/>
          <w:sz w:val="32"/>
          <w:szCs w:val="32"/>
          <w14:textFill>
            <w14:solidFill>
              <w14:schemeClr w14:val="tx1"/>
            </w14:solidFill>
          </w14:textFill>
        </w:rPr>
        <w:t>其他享有较高知名度、急需加强</w:t>
      </w:r>
      <w:r>
        <w:rPr>
          <w:rFonts w:hint="eastAsia" w:ascii="仿宋_GB2312" w:eastAsia="仿宋_GB2312"/>
          <w:color w:val="000000" w:themeColor="text1"/>
          <w:sz w:val="32"/>
          <w:szCs w:val="32"/>
          <w:lang w:val="en-US"/>
          <w14:textFill>
            <w14:solidFill>
              <w14:schemeClr w14:val="tx1"/>
            </w14:solidFill>
          </w14:textFill>
        </w:rPr>
        <w:t>海外</w:t>
      </w:r>
      <w:r>
        <w:rPr>
          <w:rFonts w:ascii="仿宋_GB2312" w:eastAsia="仿宋_GB2312"/>
          <w:color w:val="000000" w:themeColor="text1"/>
          <w:sz w:val="32"/>
          <w:szCs w:val="32"/>
          <w14:textFill>
            <w14:solidFill>
              <w14:schemeClr w14:val="tx1"/>
            </w14:solidFill>
          </w14:textFill>
        </w:rPr>
        <w:t>知识产权保护的企业。</w:t>
      </w:r>
    </w:p>
    <w:p>
      <w:pPr>
        <w:spacing w:line="580" w:lineRule="exact"/>
        <w:ind w:firstLine="643" w:firstLineChars="200"/>
        <w:jc w:val="left"/>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三、申报主体</w:t>
      </w:r>
    </w:p>
    <w:p>
      <w:pPr>
        <w:spacing w:line="58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苏州市内注册的具有独立法人资格的企业。</w:t>
      </w:r>
    </w:p>
    <w:p>
      <w:pPr>
        <w:spacing w:line="580" w:lineRule="exact"/>
        <w:ind w:firstLine="643" w:firstLineChars="200"/>
        <w:jc w:val="left"/>
        <w:rPr>
          <w:rFonts w:ascii="仿宋_GB2312" w:eastAsia="仿宋_GB2312"/>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四、申报条件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（一）产业领域属于我市重点发展的战略性新兴产业和重点支持的主导产业，技术领域属于引领产业发展的高技术、新型技术，技术特征具有较强的战略性、前瞻性、创新性。</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（二）实施预警的产品有出口需求，计划在境外销售、许诺销售，或计划在境外参加商业性展会、开拓海外市场的。</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（三）对已在海外进行专利、商标布局，或者已提交PCT专利申请、商标国际注册申请的予以优先支持。</w:t>
      </w:r>
    </w:p>
    <w:p>
      <w:pPr>
        <w:ind w:firstLine="640" w:firstLineChars="200"/>
        <w:jc w:val="left"/>
        <w:rPr>
          <w:rFonts w:ascii="仿宋_GB2312" w:hAnsi="黑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w:t>
      </w:r>
      <w:r>
        <w:rPr>
          <w:rFonts w:hint="eastAsia" w:ascii="仿宋_GB2312" w:hAnsi="黑体" w:eastAsia="仿宋_GB2312"/>
          <w:color w:val="000000" w:themeColor="text1"/>
          <w:sz w:val="32"/>
          <w:szCs w:val="32"/>
          <w14:textFill>
            <w14:solidFill>
              <w14:schemeClr w14:val="tx1"/>
            </w14:solidFill>
          </w14:textFill>
        </w:rPr>
        <w:t>无严重失信行为，无非正常专利申请行为（以国家知识产权局通报为准）。</w:t>
      </w:r>
    </w:p>
    <w:p>
      <w:pPr>
        <w:spacing w:line="580" w:lineRule="exact"/>
        <w:ind w:firstLine="643" w:firstLineChars="200"/>
        <w:jc w:val="left"/>
        <w:rPr>
          <w:rFonts w:ascii="仿宋_GB2312" w:eastAsia="仿宋_GB2312"/>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五、组织方式</w:t>
      </w:r>
    </w:p>
    <w:p>
      <w:pPr>
        <w:spacing w:line="580" w:lineRule="exact"/>
        <w:ind w:firstLine="640" w:firstLineChars="200"/>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（一）申报</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申报人申报本项目的，应当向所在市、区市场监管局（知识产权局）提交申报材料。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请专利预警分析的，每个申报人原则上只对一款专利产品或一个技术方案在一个目标国家或地区提出专利海外预警分析需求。如有一个技术方案应用于多款产品的，应当属于围绕同一技术平台的系列产品，且需提供相关佐证材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申请商标预警分析的，每个申报人原则上只针对一个商标尼斯</w:t>
      </w:r>
      <w:r>
        <w:rPr>
          <w:rFonts w:ascii="仿宋_GB2312" w:eastAsia="仿宋_GB2312"/>
          <w:color w:val="000000" w:themeColor="text1"/>
          <w:sz w:val="32"/>
          <w:szCs w:val="32"/>
          <w14:textFill>
            <w14:solidFill>
              <w14:schemeClr w14:val="tx1"/>
            </w14:solidFill>
          </w14:textFill>
        </w:rPr>
        <w:t>类别</w:t>
      </w:r>
      <w:r>
        <w:rPr>
          <w:rFonts w:hint="eastAsia" w:ascii="仿宋_GB2312" w:eastAsia="仿宋_GB2312"/>
          <w:color w:val="000000" w:themeColor="text1"/>
          <w:sz w:val="32"/>
          <w:szCs w:val="32"/>
          <w14:textFill>
            <w14:solidFill>
              <w14:schemeClr w14:val="tx1"/>
            </w14:solidFill>
          </w14:textFill>
        </w:rPr>
        <w:t>在一个目标国家或地区提出商标海外布局预警分析需求。</w:t>
      </w:r>
    </w:p>
    <w:p>
      <w:pPr>
        <w:spacing w:line="580" w:lineRule="exact"/>
        <w:ind w:firstLine="640" w:firstLineChars="200"/>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（二）审核</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市、区市场监管局（知识产权局）对企业申报材料进行初审，并将符合条件的申报汇总表、纸质和电子版申报材料一并报市市场监管局（知识产权局），市市场监管局（知识产权局）对申报材料进行复审，组织专家对符合要求的申报材料进行评审。</w:t>
      </w:r>
    </w:p>
    <w:p>
      <w:pPr>
        <w:spacing w:line="580" w:lineRule="exact"/>
        <w:ind w:firstLine="640" w:firstLineChars="200"/>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（三）公开招标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专家评审意见，经市市场监管局（知识产权局）党组会议或局长办公会同意，对予以支持的预警项目通过政府购买服务的方式，按照政府采购程序公开向社会招标，遴选具备海外知识产权预警分析能力的专业机构。</w:t>
      </w:r>
    </w:p>
    <w:p>
      <w:pPr>
        <w:spacing w:line="580" w:lineRule="exact"/>
        <w:ind w:firstLine="640" w:firstLineChars="200"/>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（四）组织实施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根据招标结果，由中标专业机构对接企业，提供知识产权海外预警分析服务，根据企业需求，在合同签订后三个月至六个月内形成并提交知识产权海外预警分析报告及</w:t>
      </w:r>
      <w:r>
        <w:rPr>
          <w:rFonts w:ascii="仿宋_GB2312" w:eastAsia="仿宋_GB2312"/>
          <w:color w:val="000000" w:themeColor="text1"/>
          <w:sz w:val="32"/>
          <w:szCs w:val="32"/>
          <w14:textFill>
            <w14:solidFill>
              <w14:schemeClr w14:val="tx1"/>
            </w14:solidFill>
          </w14:textFill>
        </w:rPr>
        <w:t>相</w:t>
      </w:r>
      <w:r>
        <w:rPr>
          <w:rFonts w:hint="eastAsia" w:ascii="仿宋_GB2312" w:eastAsia="仿宋_GB2312"/>
          <w:color w:val="000000" w:themeColor="text1"/>
          <w:sz w:val="32"/>
          <w:szCs w:val="32"/>
          <w14:textFill>
            <w14:solidFill>
              <w14:schemeClr w14:val="tx1"/>
            </w14:solidFill>
          </w14:textFill>
        </w:rPr>
        <w:t>关材料。服务期间，中标机构应至少提交一次服务中期情况说明。</w:t>
      </w:r>
    </w:p>
    <w:p>
      <w:pPr>
        <w:spacing w:line="580" w:lineRule="exact"/>
        <w:ind w:firstLine="640" w:firstLineChars="200"/>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（五）验收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在项目实施期满之后，由市市场监管局（知识产权局）组织专家对各中标服务机构完成的知识产权海外预警分析报告进行评审验收，具体验收标准及资金支付方式以招标公告为准。</w:t>
      </w:r>
    </w:p>
    <w:p>
      <w:pPr>
        <w:spacing w:line="580" w:lineRule="exact"/>
        <w:ind w:firstLine="643" w:firstLineChars="200"/>
        <w:jc w:val="left"/>
        <w:rPr>
          <w:rFonts w:ascii="仿宋_GB2312" w:eastAsia="仿宋_GB2312"/>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六、申报要求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（一）申报人需提交纸质申报材料(A4纸双面打印，纸质封面，按序装订)一式三份，同时提交</w:t>
      </w:r>
      <w:r>
        <w:rPr>
          <w:rFonts w:ascii="仿宋_GB2312" w:hAnsi="Calibri" w:eastAsia="仿宋_GB2312" w:cs="Times New Roman"/>
          <w:color w:val="000000" w:themeColor="text1"/>
          <w:sz w:val="32"/>
          <w:szCs w:val="32"/>
          <w14:textFill>
            <w14:solidFill>
              <w14:schemeClr w14:val="tx1"/>
            </w14:solidFill>
          </w14:textFill>
        </w:rPr>
        <w:t>申报书</w:t>
      </w:r>
      <w:r>
        <w:rPr>
          <w:rFonts w:hint="eastAsia" w:ascii="仿宋_GB2312" w:eastAsia="仿宋_GB2312"/>
          <w:color w:val="000000" w:themeColor="text1"/>
          <w:sz w:val="32"/>
          <w:szCs w:val="32"/>
          <w14:textFill>
            <w14:solidFill>
              <w14:schemeClr w14:val="tx1"/>
            </w14:solidFill>
          </w14:textFill>
        </w:rPr>
        <w:t xml:space="preserve">电子件，纸质件和电子件申报材料的内容须一致。 </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（二）纸质件和电子件申报材料须包括以下内容：</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1.《苏州市知识产权海外预警项目申报书》；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2.单位承诺书；</w:t>
      </w:r>
      <w:r>
        <w:rPr>
          <w:rFonts w:ascii="仿宋_GB2312" w:eastAsia="仿宋_GB2312"/>
          <w:color w:val="000000" w:themeColor="text1"/>
          <w:sz w:val="32"/>
          <w:szCs w:val="32"/>
          <w14:textFill>
            <w14:solidFill>
              <w14:schemeClr w14:val="tx1"/>
            </w14:solidFill>
          </w14:textFill>
        </w:rPr>
        <w:t xml:space="preserve"> </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申报人营业执照副本复印件或法人登记证书复印件；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预警申报所涉产品、</w:t>
      </w:r>
      <w:r>
        <w:rPr>
          <w:rFonts w:ascii="仿宋_GB2312" w:eastAsia="仿宋_GB2312"/>
          <w:color w:val="000000" w:themeColor="text1"/>
          <w:sz w:val="32"/>
          <w:szCs w:val="32"/>
          <w14:textFill>
            <w14:solidFill>
              <w14:schemeClr w14:val="tx1"/>
            </w14:solidFill>
          </w14:textFill>
        </w:rPr>
        <w:t>品牌</w:t>
      </w:r>
      <w:r>
        <w:rPr>
          <w:rFonts w:hint="eastAsia" w:ascii="仿宋_GB2312" w:eastAsia="仿宋_GB2312"/>
          <w:color w:val="000000" w:themeColor="text1"/>
          <w:sz w:val="32"/>
          <w:szCs w:val="32"/>
          <w14:textFill>
            <w14:solidFill>
              <w14:schemeClr w14:val="tx1"/>
            </w14:solidFill>
          </w14:textFill>
        </w:rPr>
        <w:t>的海外参展邀请函或出口证明材料；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预警申报所涉申报人专利、</w:t>
      </w:r>
      <w:r>
        <w:rPr>
          <w:rFonts w:ascii="仿宋_GB2312" w:eastAsia="仿宋_GB2312"/>
          <w:color w:val="000000" w:themeColor="text1"/>
          <w:sz w:val="32"/>
          <w:szCs w:val="32"/>
          <w14:textFill>
            <w14:solidFill>
              <w14:schemeClr w14:val="tx1"/>
            </w14:solidFill>
          </w14:textFill>
        </w:rPr>
        <w:t>商标</w:t>
      </w:r>
      <w:r>
        <w:rPr>
          <w:rFonts w:hint="eastAsia" w:ascii="仿宋_GB2312" w:eastAsia="仿宋_GB2312"/>
          <w:color w:val="000000" w:themeColor="text1"/>
          <w:sz w:val="32"/>
          <w:szCs w:val="32"/>
          <w14:textFill>
            <w14:solidFill>
              <w14:schemeClr w14:val="tx1"/>
            </w14:solidFill>
          </w14:textFill>
        </w:rPr>
        <w:t>的相关文书</w:t>
      </w:r>
      <w:r>
        <w:rPr>
          <w:rFonts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与申报相关的其他证明材料。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（三）申报材料须全面、真实、精练，复印件须加盖公章。</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NzEzYTYxNDdlM2UyY2I4ZTdiZWNhYWM4MDc4ZDgifQ=="/>
  </w:docVars>
  <w:rsids>
    <w:rsidRoot w:val="40A32325"/>
    <w:rsid w:val="02223560"/>
    <w:rsid w:val="17BE7C25"/>
    <w:rsid w:val="324E0C5E"/>
    <w:rsid w:val="36687924"/>
    <w:rsid w:val="40A32325"/>
    <w:rsid w:val="5C9B365E"/>
    <w:rsid w:val="6832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Body text|1"/>
    <w:basedOn w:val="1"/>
    <w:qFormat/>
    <w:uiPriority w:val="0"/>
    <w:pPr>
      <w:spacing w:line="451"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1706</Words>
  <Characters>1781</Characters>
  <Lines>0</Lines>
  <Paragraphs>0</Paragraphs>
  <TotalTime>7</TotalTime>
  <ScaleCrop>false</ScaleCrop>
  <LinksUpToDate>false</LinksUpToDate>
  <CharactersWithSpaces>1786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2022-05-06T06:04:00Z</dcterms:created>
  <dc:creator>13812681612</dc:creator>
  <cp:lastModifiedBy>13812681612</cp:lastModifiedBy>
  <dcterms:modified xsi:type="dcterms:W3CDTF">2022-05-06T07:52:46Z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849469A11558451CAC3696BA76A61C69</vt:lpwstr>
  </property>
</Properties>
</file>