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40" w:lineRule="auto"/>
        <w:ind w:firstLine="0" w:firstLineChars="0"/>
        <w:rPr>
          <w:rFonts w:ascii="方正黑体_GBK" w:hAnsi="方正黑体_GBK" w:eastAsia="方正黑体_GBK"/>
          <w:sz w:val="32"/>
          <w:szCs w:val="32"/>
        </w:rPr>
      </w:pPr>
      <w:bookmarkStart w:id="6" w:name="_GoBack"/>
      <w:bookmarkEnd w:id="6"/>
      <w:r>
        <w:rPr>
          <w:rFonts w:hint="eastAsia" w:ascii="方正黑体_GBK" w:hAnsi="方正黑体_GBK" w:eastAsia="方正黑体_GBK"/>
          <w:sz w:val="32"/>
          <w:szCs w:val="32"/>
        </w:rPr>
        <w:t>附件1</w:t>
      </w:r>
    </w:p>
    <w:p>
      <w:pPr>
        <w:adjustRightInd w:val="0"/>
        <w:snapToGrid w:val="0"/>
        <w:spacing w:line="240" w:lineRule="auto"/>
        <w:ind w:firstLine="0" w:firstLineChars="0"/>
        <w:rPr>
          <w:rFonts w:ascii="方正仿宋_GBK" w:eastAsia="方正仿宋_GBK"/>
          <w:sz w:val="32"/>
          <w:szCs w:val="32"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/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江苏省软件行业政企服务平台</w:t>
      </w:r>
    </w:p>
    <w:p>
      <w:pPr>
        <w:tabs>
          <w:tab w:val="left" w:pos="90"/>
        </w:tabs>
        <w:autoSpaceDE w:val="0"/>
        <w:autoSpaceDN w:val="0"/>
        <w:adjustRightInd w:val="0"/>
        <w:spacing w:before="120"/>
        <w:ind w:firstLine="880"/>
        <w:jc w:val="center"/>
        <w:rPr>
          <w:rFonts w:ascii="方正小标宋_GBK" w:hAnsi="宋体" w:eastAsia="方正小标宋_GBK" w:cs="宋体"/>
          <w:b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操作手册（大数据</w:t>
      </w:r>
      <w:r>
        <w:rPr>
          <w:rFonts w:ascii="方正小标宋_GBK" w:eastAsia="方正小标宋_GBK"/>
          <w:sz w:val="44"/>
          <w:szCs w:val="44"/>
        </w:rPr>
        <w:t>企业</w:t>
      </w:r>
      <w:r>
        <w:rPr>
          <w:rFonts w:hint="eastAsia" w:ascii="方正小标宋_GBK" w:eastAsia="方正小标宋_GBK"/>
          <w:sz w:val="44"/>
          <w:szCs w:val="44"/>
        </w:rPr>
        <w:t>）</w:t>
      </w:r>
    </w:p>
    <w:p>
      <w:pPr>
        <w:pStyle w:val="2"/>
        <w:rPr>
          <w:rFonts w:ascii="Arial" w:hAnsi="Arial" w:eastAsia="黑体"/>
          <w:kern w:val="2"/>
          <w:sz w:val="32"/>
        </w:rPr>
      </w:pPr>
      <w:bookmarkStart w:id="0" w:name="_Toc2928859"/>
      <w:r>
        <w:rPr>
          <w:rFonts w:hint="eastAsia" w:ascii="Arial" w:hAnsi="Arial" w:eastAsia="黑体"/>
          <w:kern w:val="2"/>
          <w:sz w:val="32"/>
        </w:rPr>
        <w:t>1.系统运行环境</w:t>
      </w:r>
      <w:bookmarkEnd w:id="0"/>
    </w:p>
    <w:p>
      <w:pPr>
        <w:pStyle w:val="3"/>
        <w:ind w:firstLine="643"/>
      </w:pPr>
      <w:bookmarkStart w:id="1" w:name="_Toc2928860"/>
      <w:r>
        <w:rPr>
          <w:rFonts w:hint="eastAsia"/>
        </w:rPr>
        <w:t>1</w:t>
      </w:r>
      <w:r>
        <w:t>.1</w:t>
      </w:r>
      <w:r>
        <w:rPr>
          <w:rFonts w:hint="eastAsia"/>
        </w:rPr>
        <w:t>运行环境要求</w:t>
      </w:r>
      <w:bookmarkEnd w:id="1"/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1、浏览器要求：推荐使用火狐、谷歌、3</w:t>
      </w:r>
      <w:r>
        <w:rPr>
          <w:rFonts w:ascii="宋体" w:hAnsi="宋体"/>
          <w:sz w:val="28"/>
          <w:szCs w:val="28"/>
        </w:rPr>
        <w:t>60</w:t>
      </w:r>
      <w:r>
        <w:rPr>
          <w:rFonts w:hint="eastAsia" w:ascii="宋体" w:hAnsi="宋体"/>
          <w:sz w:val="28"/>
          <w:szCs w:val="28"/>
        </w:rPr>
        <w:t>极速浏览器（极速模式）和360安全浏览器（极速模式）。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、电脑硬件要求：CPU 1.8G HZ以上，内存2.0G以上,操作系统XP及以上（Win7 及以上更佳），分辨率超过1024:768。</w:t>
      </w:r>
    </w:p>
    <w:p>
      <w:pPr>
        <w:pStyle w:val="2"/>
        <w:rPr>
          <w:rFonts w:ascii="Arial" w:hAnsi="Arial" w:eastAsia="黑体"/>
          <w:kern w:val="2"/>
          <w:sz w:val="32"/>
        </w:rPr>
      </w:pPr>
      <w:bookmarkStart w:id="2" w:name="_Toc2928861"/>
      <w:r>
        <w:rPr>
          <w:rFonts w:hint="eastAsia" w:ascii="Arial" w:hAnsi="Arial" w:eastAsia="黑体"/>
          <w:kern w:val="2"/>
          <w:sz w:val="32"/>
        </w:rPr>
        <w:t>2.系统操作说明</w:t>
      </w:r>
      <w:bookmarkEnd w:id="2"/>
    </w:p>
    <w:p>
      <w:pPr>
        <w:pStyle w:val="3"/>
        <w:ind w:firstLine="643"/>
      </w:pPr>
      <w:bookmarkStart w:id="3" w:name="_Toc2928862"/>
      <w:r>
        <w:rPr>
          <w:rFonts w:hint="eastAsia"/>
        </w:rPr>
        <w:t>2</w:t>
      </w:r>
      <w:r>
        <w:t>.1</w:t>
      </w:r>
      <w:r>
        <w:rPr>
          <w:rFonts w:hint="eastAsia"/>
        </w:rPr>
        <w:t>系统登录</w:t>
      </w:r>
      <w:bookmarkEnd w:id="3"/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1、登录“江苏省软件行业政企服务平台”</w:t>
      </w:r>
    </w:p>
    <w:p>
      <w:pPr>
        <w:ind w:firstLine="5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Fonts w:hint="eastAsia" w:ascii="宋体" w:hAnsi="宋体"/>
          <w:sz w:val="28"/>
          <w:szCs w:val="28"/>
        </w:rPr>
        <w:t>登录地址 ：</w:t>
      </w:r>
      <w:r>
        <w:rPr>
          <w:rFonts w:hint="eastAsia" w:ascii="宋体" w:hAnsi="宋体" w:cs="宋体"/>
          <w:color w:val="0000FF"/>
          <w:sz w:val="28"/>
          <w:szCs w:val="28"/>
          <w:u w:val="single"/>
        </w:rPr>
        <w:t>https://jsrj.zqtong.com/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在系统登录界面选择【企业入口】；</w:t>
      </w:r>
    </w:p>
    <w:p>
      <w:pPr>
        <w:ind w:firstLine="0" w:firstLineChars="0"/>
      </w:pPr>
      <w:r>
        <w:drawing>
          <wp:inline distT="0" distB="0" distL="114300" distR="114300">
            <wp:extent cx="5271770" cy="1747520"/>
            <wp:effectExtent l="0" t="0" r="127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企业登录界面如下图：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【若您单位已有账号】输入账号（统一社会信用代码）、密码进行登录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【若您单位无账号】点击【立即注册】，进入注册页面</w:t>
      </w:r>
    </w:p>
    <w:p>
      <w:pPr>
        <w:ind w:firstLine="420"/>
      </w:pPr>
      <w:r>
        <w:drawing>
          <wp:inline distT="0" distB="0" distL="114300" distR="114300">
            <wp:extent cx="5261610" cy="2369820"/>
            <wp:effectExtent l="0" t="0" r="1143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输入企业名称、统一社会信用代码、法定代表人、手机号码、短信验证码、密码、所属区域；确认密码后，点击【注册】完成注册。</w:t>
      </w:r>
    </w:p>
    <w:p>
      <w:pPr>
        <w:ind w:firstLine="420"/>
      </w:pPr>
      <w:r>
        <w:drawing>
          <wp:inline distT="0" distB="0" distL="114300" distR="114300">
            <wp:extent cx="5264785" cy="3267710"/>
            <wp:effectExtent l="0" t="0" r="8255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注册成功后跳转至登录页面，【企业账号】入口：输入统一社会信用代码和密码进行登录。</w:t>
      </w:r>
    </w:p>
    <w:p>
      <w:pPr>
        <w:ind w:firstLine="420"/>
      </w:pPr>
      <w:r>
        <w:drawing>
          <wp:inline distT="0" distB="0" distL="114300" distR="114300">
            <wp:extent cx="5265420" cy="2359660"/>
            <wp:effectExtent l="0" t="0" r="762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登录成功，进入工作台页面；</w:t>
      </w:r>
    </w:p>
    <w:p>
      <w:pPr>
        <w:ind w:firstLine="420"/>
      </w:pPr>
      <w:r>
        <w:drawing>
          <wp:inline distT="0" distB="0" distL="114300" distR="114300">
            <wp:extent cx="5269230" cy="2461895"/>
            <wp:effectExtent l="0" t="0" r="381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点击图中的图标按钮，可设置我的应用在工作台页面，便于下次填报。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1770" cy="2724785"/>
            <wp:effectExtent l="0" t="0" r="5080" b="184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也可点击服务中心，在【政务服务】-【统计填报】中查找应用：</w:t>
      </w:r>
    </w:p>
    <w:p>
      <w:pPr>
        <w:ind w:firstLine="420"/>
      </w:pPr>
    </w:p>
    <w:p>
      <w:pPr>
        <w:ind w:firstLine="0" w:firstLineChars="0"/>
      </w:pPr>
      <w:r>
        <w:drawing>
          <wp:inline distT="0" distB="0" distL="114300" distR="114300">
            <wp:extent cx="5274310" cy="2621915"/>
            <wp:effectExtent l="0" t="0" r="13970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2、企业也可在门户首页，通过左侧快速导航栏，点击政务报送，直接点击应用，跳转至登录页面。</w:t>
      </w:r>
    </w:p>
    <w:p>
      <w:pPr>
        <w:ind w:firstLine="0" w:firstLineChars="0"/>
      </w:pPr>
      <w:r>
        <w:drawing>
          <wp:inline distT="0" distB="0" distL="114300" distR="114300">
            <wp:extent cx="5267325" cy="2343150"/>
            <wp:effectExtent l="0" t="0" r="5715" b="38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登录成功后，直接进行填报。</w:t>
      </w:r>
    </w:p>
    <w:p>
      <w:pPr>
        <w:ind w:firstLine="0" w:firstLineChars="0"/>
      </w:pPr>
      <w:r>
        <w:drawing>
          <wp:inline distT="0" distB="0" distL="114300" distR="114300">
            <wp:extent cx="5261610" cy="2369820"/>
            <wp:effectExtent l="0" t="0" r="11430" b="762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4" w:name="_Toc2928863"/>
      <w:r>
        <w:rPr>
          <w:rFonts w:hint="eastAsia"/>
        </w:rPr>
        <w:t>2</w:t>
      </w:r>
      <w:r>
        <w:t>.2</w:t>
      </w:r>
      <w:bookmarkEnd w:id="4"/>
      <w:r>
        <w:rPr>
          <w:rFonts w:hint="eastAsia"/>
        </w:rPr>
        <w:t>大数据企业入库</w:t>
      </w:r>
    </w:p>
    <w:p>
      <w:pPr>
        <w:pStyle w:val="4"/>
        <w:ind w:firstLine="643"/>
      </w:pPr>
      <w:bookmarkStart w:id="5" w:name="_Toc2928865"/>
      <w:r>
        <w:rPr>
          <w:rFonts w:hint="eastAsia"/>
        </w:rPr>
        <w:t>2</w:t>
      </w:r>
      <w:r>
        <w:t>.2.1</w:t>
      </w:r>
      <w:r>
        <w:rPr>
          <w:rFonts w:hint="eastAsia"/>
        </w:rPr>
        <w:t>操作</w:t>
      </w:r>
      <w:r>
        <w:t>说明</w:t>
      </w:r>
      <w:bookmarkEnd w:id="5"/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点击【统计填报】-【大数据企业入库】；</w:t>
      </w:r>
    </w:p>
    <w:p>
      <w:pPr>
        <w:ind w:firstLine="0" w:firstLineChars="0"/>
      </w:pPr>
      <w:r>
        <w:drawing>
          <wp:inline distT="0" distB="0" distL="114300" distR="114300">
            <wp:extent cx="5274310" cy="2621915"/>
            <wp:effectExtent l="0" t="0" r="13970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进入大数据企业入库填报页面，主要分为大数据企业入库和2021年企业发展情况表两个栏目；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大数据企业入库页面主要包括大数据企业入库指南、大数据企业入库信息表、上传相关附件三个模块，可点击查看相关模块下的内容：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1、大数据企业入库指南：主要用来大数据企业查看企业填写入库信息的基本要求。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4310" cy="3131820"/>
            <wp:effectExtent l="0" t="0" r="1397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2、大数据企业入库信息表：主要用来大数据企业填报企业入库的信息表。</w:t>
      </w:r>
    </w:p>
    <w:p>
      <w:pPr>
        <w:ind w:firstLine="420"/>
      </w:pPr>
      <w:r>
        <w:drawing>
          <wp:inline distT="0" distB="0" distL="114300" distR="114300">
            <wp:extent cx="5269865" cy="3053080"/>
            <wp:effectExtent l="0" t="0" r="317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3、上传相关附件：主要用来大数据企业上传企业入库信息表中所需的相关附件，其中，</w:t>
      </w:r>
      <w:r>
        <w:rPr>
          <w:rFonts w:ascii="宋体" w:hAnsi="宋体"/>
          <w:sz w:val="28"/>
          <w:szCs w:val="28"/>
        </w:rPr>
        <w:t>相关荣誉证明材料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研发能力证明材料</w:t>
      </w:r>
      <w:r>
        <w:rPr>
          <w:rFonts w:hint="eastAsia" w:ascii="宋体" w:hAnsi="宋体"/>
          <w:sz w:val="28"/>
          <w:szCs w:val="28"/>
        </w:rPr>
        <w:t>、与入库信息表中的资质情况、知识产权相关信息联动显示。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1770" cy="2825115"/>
            <wp:effectExtent l="0" t="0" r="127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上传完附件后，点击【上一步】，可跳回至上一个模块；点击【提交】，可提交入库信息表。</w:t>
      </w:r>
    </w:p>
    <w:p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 xml:space="preserve">  </w:t>
      </w:r>
      <w:r>
        <w:rPr>
          <w:rFonts w:hint="eastAsia" w:ascii="宋体" w:hAnsi="宋体"/>
          <w:sz w:val="28"/>
          <w:szCs w:val="28"/>
        </w:rPr>
        <w:t>注：若大数据企业已完成入库，需更新入库信息，提交完成后再填写202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年企业发展情况表，若未入库，需填写入库信息，再填写2021年企业发展情况表。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点击2021年企业发展情况表，弹窗跳出“请先更新入库信息”，需要先更新大数据企业入库信息才可进行填报；</w:t>
      </w:r>
    </w:p>
    <w:p>
      <w:pPr>
        <w:ind w:firstLine="0" w:firstLineChars="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3040" cy="2197100"/>
            <wp:effectExtent l="0" t="0" r="0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082165"/>
            <wp:effectExtent l="0" t="0" r="14605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更新完成，开始填写2021年企业发展情况表；</w:t>
      </w:r>
    </w:p>
    <w:p>
      <w:pPr>
        <w:ind w:firstLine="0" w:firstLineChars="0"/>
      </w:pPr>
      <w:r>
        <w:drawing>
          <wp:inline distT="0" distB="0" distL="114300" distR="114300">
            <wp:extent cx="5266055" cy="1828800"/>
            <wp:effectExtent l="0" t="0" r="6985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</w:pPr>
      <w:r>
        <w:rPr>
          <w:rFonts w:hint="eastAsia" w:ascii="宋体" w:hAnsi="宋体"/>
          <w:sz w:val="28"/>
          <w:szCs w:val="28"/>
        </w:rPr>
        <w:t>点击【保存】，可临时保存相关内容；点击【提交】，该信息提交成功。</w:t>
      </w:r>
    </w:p>
    <w:p>
      <w:pPr>
        <w:widowControl/>
        <w:spacing w:line="240" w:lineRule="auto"/>
        <w:ind w:firstLine="0" w:firstLineChars="0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br w:type="page"/>
      </w:r>
    </w:p>
    <w:p>
      <w:pPr>
        <w:adjustRightInd w:val="0"/>
        <w:snapToGrid w:val="0"/>
        <w:spacing w:line="240" w:lineRule="auto"/>
        <w:ind w:firstLine="0" w:firstLineChars="0"/>
        <w:rPr>
          <w:rFonts w:ascii="方正黑体_GBK" w:hAnsi="方正黑体_GBK" w:eastAsia="方正黑体_GBK"/>
          <w:sz w:val="32"/>
          <w:szCs w:val="32"/>
        </w:rPr>
      </w:pPr>
      <w:r>
        <w:rPr>
          <w:rFonts w:hint="eastAsia" w:ascii="方正黑体_GBK" w:hAnsi="方正黑体_GBK" w:eastAsia="方正黑体_GBK"/>
          <w:sz w:val="32"/>
          <w:szCs w:val="32"/>
        </w:rPr>
        <w:t>附件1</w:t>
      </w:r>
    </w:p>
    <w:p>
      <w:pPr>
        <w:adjustRightInd w:val="0"/>
        <w:snapToGrid w:val="0"/>
        <w:spacing w:line="240" w:lineRule="auto"/>
        <w:ind w:firstLine="0" w:firstLineChars="0"/>
        <w:rPr>
          <w:rFonts w:ascii="方正仿宋_GBK" w:eastAsia="方正仿宋_GBK"/>
          <w:sz w:val="32"/>
          <w:szCs w:val="32"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/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江苏省软件行业政企服务平台</w:t>
      </w:r>
    </w:p>
    <w:p>
      <w:pPr>
        <w:tabs>
          <w:tab w:val="left" w:pos="90"/>
        </w:tabs>
        <w:autoSpaceDE w:val="0"/>
        <w:autoSpaceDN w:val="0"/>
        <w:adjustRightInd w:val="0"/>
        <w:spacing w:before="120"/>
        <w:ind w:firstLine="880"/>
        <w:jc w:val="center"/>
        <w:rPr>
          <w:rFonts w:ascii="方正小标宋_GBK" w:hAnsi="宋体" w:eastAsia="方正小标宋_GBK" w:cs="宋体"/>
          <w:b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操作手册（区块链</w:t>
      </w:r>
      <w:r>
        <w:rPr>
          <w:rFonts w:ascii="方正小标宋_GBK" w:eastAsia="方正小标宋_GBK"/>
          <w:sz w:val="44"/>
          <w:szCs w:val="44"/>
        </w:rPr>
        <w:t>企业</w:t>
      </w:r>
      <w:r>
        <w:rPr>
          <w:rFonts w:hint="eastAsia" w:ascii="方正小标宋_GBK" w:eastAsia="方正小标宋_GBK"/>
          <w:sz w:val="44"/>
          <w:szCs w:val="44"/>
        </w:rPr>
        <w:t>）</w:t>
      </w:r>
    </w:p>
    <w:p>
      <w:pPr>
        <w:pStyle w:val="2"/>
      </w:pPr>
      <w:r>
        <w:rPr>
          <w:rFonts w:hint="eastAsia"/>
        </w:rPr>
        <w:t>1.系统运行环境</w:t>
      </w:r>
    </w:p>
    <w:p>
      <w:pPr>
        <w:pStyle w:val="3"/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运行环境要求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1、浏览器要求：推荐使用火狐、谷歌、3</w:t>
      </w:r>
      <w:r>
        <w:rPr>
          <w:rFonts w:ascii="宋体" w:hAnsi="宋体"/>
          <w:sz w:val="28"/>
          <w:szCs w:val="28"/>
        </w:rPr>
        <w:t>60</w:t>
      </w:r>
      <w:r>
        <w:rPr>
          <w:rFonts w:hint="eastAsia" w:ascii="宋体" w:hAnsi="宋体"/>
          <w:sz w:val="28"/>
          <w:szCs w:val="28"/>
        </w:rPr>
        <w:t>极速浏览器（极速模式）和360安全浏览器（极速模式）。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、电脑硬件要求：CPU 1.8G HZ以上，内存2.0G以上,操作系统XP及以上（Win7 及以上更佳），分辨率超过1024:768。</w:t>
      </w:r>
    </w:p>
    <w:p>
      <w:pPr>
        <w:pStyle w:val="2"/>
      </w:pPr>
      <w:r>
        <w:rPr>
          <w:rFonts w:hint="eastAsia"/>
        </w:rPr>
        <w:t>2.系统操作说明</w:t>
      </w:r>
    </w:p>
    <w:p>
      <w:pPr>
        <w:pStyle w:val="3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系统登录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1、登录“江苏省软件行业政企服务平台”</w:t>
      </w:r>
    </w:p>
    <w:p>
      <w:pPr>
        <w:ind w:firstLine="5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Fonts w:hint="eastAsia" w:ascii="宋体" w:hAnsi="宋体"/>
          <w:sz w:val="28"/>
          <w:szCs w:val="28"/>
        </w:rPr>
        <w:t>登录地址 ：</w:t>
      </w:r>
      <w:r>
        <w:rPr>
          <w:rFonts w:hint="eastAsia" w:ascii="宋体" w:hAnsi="宋体" w:cs="宋体"/>
          <w:color w:val="0000FF"/>
          <w:sz w:val="28"/>
          <w:szCs w:val="28"/>
          <w:u w:val="single"/>
        </w:rPr>
        <w:t>https://jsrj.zqtong.com/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在系统登录界面选择【企业入口】；</w:t>
      </w:r>
    </w:p>
    <w:p>
      <w:pPr>
        <w:ind w:firstLine="420"/>
      </w:pPr>
      <w:r>
        <w:drawing>
          <wp:inline distT="0" distB="0" distL="114300" distR="114300">
            <wp:extent cx="5271770" cy="1747520"/>
            <wp:effectExtent l="0" t="0" r="12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企业登录界面如下图：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【若您单位已有账号】输入账号（统一社会信用代码）、密码进行登录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【若您单位无账号】点击【立即注册】，进入注册页面</w:t>
      </w:r>
    </w:p>
    <w:p>
      <w:pPr>
        <w:ind w:firstLine="420"/>
      </w:pPr>
      <w:r>
        <w:drawing>
          <wp:inline distT="0" distB="0" distL="114300" distR="114300">
            <wp:extent cx="5261610" cy="236982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输入企业名称、统一社会信用代码、法定代表人、手机号码、短信验证码、密码、所属区域；确认密码后，点击【注册】完成注册。</w:t>
      </w:r>
    </w:p>
    <w:p>
      <w:pPr>
        <w:ind w:firstLine="420"/>
      </w:pPr>
      <w:r>
        <w:drawing>
          <wp:inline distT="0" distB="0" distL="114300" distR="114300">
            <wp:extent cx="5264785" cy="3267710"/>
            <wp:effectExtent l="0" t="0" r="825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注册成功后跳转至登录页面，【企业账号】入口：输入统一社会信用代码和密码进行登录。</w:t>
      </w:r>
    </w:p>
    <w:p>
      <w:pPr>
        <w:ind w:firstLine="420"/>
      </w:pPr>
      <w:r>
        <w:drawing>
          <wp:inline distT="0" distB="0" distL="114300" distR="114300">
            <wp:extent cx="5265420" cy="2359660"/>
            <wp:effectExtent l="0" t="0" r="762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登录成功，进入工作台页面；</w:t>
      </w:r>
    </w:p>
    <w:p>
      <w:pPr>
        <w:ind w:firstLine="420"/>
      </w:pPr>
      <w:r>
        <w:drawing>
          <wp:inline distT="0" distB="0" distL="114300" distR="114300">
            <wp:extent cx="5269230" cy="2461895"/>
            <wp:effectExtent l="0" t="0" r="381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点击图中的图标按钮，可设置我的应用在工作台页面，便于下次填报。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1770" cy="2724785"/>
            <wp:effectExtent l="0" t="0" r="5080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</w:pPr>
      <w:r>
        <w:rPr>
          <w:rFonts w:hint="eastAsia" w:ascii="宋体" w:hAnsi="宋体"/>
          <w:sz w:val="28"/>
          <w:szCs w:val="28"/>
        </w:rPr>
        <w:t>也可点击服务中心，在【政务服务】-【统计填报】中查找区块链企业入库应用：</w:t>
      </w:r>
    </w:p>
    <w:p>
      <w:pPr>
        <w:ind w:firstLine="420"/>
      </w:pPr>
      <w:r>
        <w:drawing>
          <wp:inline distT="0" distB="0" distL="114300" distR="114300">
            <wp:extent cx="5266055" cy="2421890"/>
            <wp:effectExtent l="0" t="0" r="6985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2、企业也可在门户首页，通过左侧快速导航栏，点击政务报送，直接点击应用，跳转至登录页面。</w:t>
      </w:r>
    </w:p>
    <w:p>
      <w:pPr>
        <w:ind w:firstLine="420"/>
      </w:pPr>
      <w:r>
        <w:drawing>
          <wp:inline distT="0" distB="0" distL="114300" distR="114300">
            <wp:extent cx="5262245" cy="2117090"/>
            <wp:effectExtent l="0" t="0" r="1079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登录成功后，直接进行填报。</w:t>
      </w:r>
    </w:p>
    <w:p>
      <w:pPr>
        <w:ind w:firstLine="420"/>
      </w:pPr>
      <w:r>
        <w:drawing>
          <wp:inline distT="0" distB="0" distL="114300" distR="114300">
            <wp:extent cx="5261610" cy="2369820"/>
            <wp:effectExtent l="0" t="0" r="1143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区块链企业入库</w:t>
      </w:r>
    </w:p>
    <w:p>
      <w:pPr>
        <w:pStyle w:val="4"/>
      </w:pPr>
      <w:r>
        <w:rPr>
          <w:rFonts w:hint="eastAsia"/>
        </w:rPr>
        <w:t>2</w:t>
      </w:r>
      <w:r>
        <w:t>.2.1</w:t>
      </w:r>
      <w:r>
        <w:rPr>
          <w:rFonts w:hint="eastAsia"/>
        </w:rPr>
        <w:t>操作</w:t>
      </w:r>
      <w:r>
        <w:t>说明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点击【区块链企业入库】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6055" cy="2421890"/>
            <wp:effectExtent l="0" t="0" r="6985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进入区块链企业入库填报页面，页面主要包括区块链企业和产品入库指南、区块链企业入库信息表、区块链产品入库信息表和上传相关附件四个模块，可点击查看相关模块下的内容： 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1、区块链企业和产品入库指南：主要用来查看区块链企业入库的指南信息。</w:t>
      </w:r>
    </w:p>
    <w:p>
      <w:pPr>
        <w:ind w:firstLine="420"/>
      </w:pPr>
      <w:r>
        <w:drawing>
          <wp:inline distT="0" distB="0" distL="114300" distR="114300">
            <wp:extent cx="5266055" cy="2570480"/>
            <wp:effectExtent l="0" t="0" r="6985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2、区块链企业入库信息表：主要用来填写区块链企业入库信息的相关信息；</w:t>
      </w:r>
    </w:p>
    <w:p>
      <w:pPr>
        <w:ind w:firstLine="420"/>
      </w:pPr>
      <w:r>
        <w:drawing>
          <wp:inline distT="0" distB="0" distL="114300" distR="114300">
            <wp:extent cx="5271135" cy="2635250"/>
            <wp:effectExtent l="0" t="0" r="1905" b="127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</w:pPr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3、区块链产品入库信息表：主要用来填写区块链产品入库信息的相关信息；</w:t>
      </w:r>
    </w:p>
    <w:p>
      <w:pPr>
        <w:ind w:firstLine="420"/>
      </w:pPr>
      <w:r>
        <w:drawing>
          <wp:inline distT="0" distB="0" distL="114300" distR="114300">
            <wp:extent cx="5266055" cy="2083435"/>
            <wp:effectExtent l="0" t="0" r="6985" b="444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/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4、上传相关附件：主要用来区块链企业上传调查表中所需的相关附件，其中，研发能力证明材料和相关荣誉证明材料联动显示。</w:t>
      </w:r>
    </w:p>
    <w:p>
      <w:pPr>
        <w:ind w:firstLine="42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3040" cy="2800350"/>
            <wp:effectExtent l="0" t="0" r="0" b="38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上传完附件后，点击【上一步】，可跳转到上一个模块；点击【提交】，区块链信息提交成功。</w:t>
      </w:r>
    </w:p>
    <w:p>
      <w:pPr>
        <w:adjustRightInd w:val="0"/>
        <w:snapToGrid w:val="0"/>
        <w:spacing w:line="240" w:lineRule="auto"/>
        <w:ind w:firstLine="0" w:firstLineChars="0"/>
        <w:rPr>
          <w:rFonts w:ascii="方正仿宋_GBK" w:eastAsia="方正仿宋_GBK"/>
          <w:sz w:val="32"/>
          <w:szCs w:val="32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56099530"/>
      <w:docPartObj>
        <w:docPartGallery w:val="autotext"/>
      </w:docPartObj>
    </w:sdtPr>
    <w:sdtEndPr>
      <w:rPr>
        <w:rFonts w:ascii="Times New Roman" w:hAnsi="Times New Roman"/>
        <w:sz w:val="32"/>
        <w:szCs w:val="32"/>
      </w:rPr>
    </w:sdtEndPr>
    <w:sdtContent>
      <w:p>
        <w:pPr>
          <w:pStyle w:val="7"/>
          <w:ind w:firstLine="360"/>
          <w:jc w:val="center"/>
          <w:rPr>
            <w:rFonts w:ascii="Times New Roman" w:hAnsi="Times New Roman"/>
            <w:sz w:val="32"/>
            <w:szCs w:val="32"/>
          </w:rPr>
        </w:pPr>
        <w:r>
          <w:t>—</w:t>
        </w:r>
        <w:r>
          <w:rPr>
            <w:rFonts w:ascii="Times New Roman" w:hAnsi="Times New Roman"/>
            <w:sz w:val="32"/>
            <w:szCs w:val="32"/>
          </w:rPr>
          <w:fldChar w:fldCharType="begin"/>
        </w:r>
        <w:r>
          <w:rPr>
            <w:rFonts w:ascii="Times New Roman" w:hAnsi="Times New Roman"/>
            <w:sz w:val="32"/>
            <w:szCs w:val="32"/>
          </w:rPr>
          <w:instrText xml:space="preserve">PAGE   \* MERGEFORMAT</w:instrText>
        </w:r>
        <w:r>
          <w:rPr>
            <w:rFonts w:ascii="Times New Roman" w:hAnsi="Times New Roman"/>
            <w:sz w:val="32"/>
            <w:szCs w:val="32"/>
          </w:rPr>
          <w:fldChar w:fldCharType="separate"/>
        </w:r>
        <w:r>
          <w:rPr>
            <w:rFonts w:ascii="Times New Roman" w:hAnsi="Times New Roman"/>
            <w:sz w:val="32"/>
            <w:szCs w:val="32"/>
            <w:lang w:val="zh-CN"/>
          </w:rPr>
          <w:t>4</w:t>
        </w:r>
        <w:r>
          <w:rPr>
            <w:rFonts w:ascii="Times New Roman" w:hAnsi="Times New Roman"/>
            <w:sz w:val="32"/>
            <w:szCs w:val="32"/>
          </w:rPr>
          <w:fldChar w:fldCharType="end"/>
        </w:r>
        <w:r>
          <w:t>—</w:t>
        </w:r>
      </w:p>
    </w:sdtContent>
  </w:sdt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5NTJkNTRkMDdkNWM2ODM1NDFhNTZjODA0ODUxZTYifQ=="/>
  </w:docVars>
  <w:rsids>
    <w:rsidRoot w:val="00B065C9"/>
    <w:rsid w:val="000032C3"/>
    <w:rsid w:val="00021018"/>
    <w:rsid w:val="00026E6D"/>
    <w:rsid w:val="00027FD6"/>
    <w:rsid w:val="00037E38"/>
    <w:rsid w:val="000636BF"/>
    <w:rsid w:val="000B2116"/>
    <w:rsid w:val="000B4CF2"/>
    <w:rsid w:val="000B6AF5"/>
    <w:rsid w:val="000D25A7"/>
    <w:rsid w:val="000D47A4"/>
    <w:rsid w:val="000D7C48"/>
    <w:rsid w:val="000E2468"/>
    <w:rsid w:val="001276AF"/>
    <w:rsid w:val="00134089"/>
    <w:rsid w:val="00151D0B"/>
    <w:rsid w:val="00157977"/>
    <w:rsid w:val="00161585"/>
    <w:rsid w:val="001766DE"/>
    <w:rsid w:val="00187B4F"/>
    <w:rsid w:val="001A2B7A"/>
    <w:rsid w:val="001B0846"/>
    <w:rsid w:val="001B0A00"/>
    <w:rsid w:val="001B192F"/>
    <w:rsid w:val="001B3588"/>
    <w:rsid w:val="001C5352"/>
    <w:rsid w:val="001D24B8"/>
    <w:rsid w:val="001D6217"/>
    <w:rsid w:val="001D749F"/>
    <w:rsid w:val="001D7D15"/>
    <w:rsid w:val="001E5714"/>
    <w:rsid w:val="001F0299"/>
    <w:rsid w:val="001F1700"/>
    <w:rsid w:val="001F38CE"/>
    <w:rsid w:val="00200304"/>
    <w:rsid w:val="002025A9"/>
    <w:rsid w:val="00212FEC"/>
    <w:rsid w:val="002314BB"/>
    <w:rsid w:val="0023502D"/>
    <w:rsid w:val="00250631"/>
    <w:rsid w:val="00263706"/>
    <w:rsid w:val="00267E85"/>
    <w:rsid w:val="00273307"/>
    <w:rsid w:val="002864D4"/>
    <w:rsid w:val="00290CCF"/>
    <w:rsid w:val="002B0F0E"/>
    <w:rsid w:val="002F0B29"/>
    <w:rsid w:val="003147F0"/>
    <w:rsid w:val="003159DF"/>
    <w:rsid w:val="00334791"/>
    <w:rsid w:val="00347DE4"/>
    <w:rsid w:val="00360987"/>
    <w:rsid w:val="003609D5"/>
    <w:rsid w:val="003641D3"/>
    <w:rsid w:val="0037443E"/>
    <w:rsid w:val="00387201"/>
    <w:rsid w:val="00387628"/>
    <w:rsid w:val="003B1DD3"/>
    <w:rsid w:val="003B3567"/>
    <w:rsid w:val="003F77EE"/>
    <w:rsid w:val="00443D51"/>
    <w:rsid w:val="00444863"/>
    <w:rsid w:val="00451B5A"/>
    <w:rsid w:val="0045410F"/>
    <w:rsid w:val="00460DBA"/>
    <w:rsid w:val="004664EF"/>
    <w:rsid w:val="0047308B"/>
    <w:rsid w:val="00474BB5"/>
    <w:rsid w:val="00477327"/>
    <w:rsid w:val="00477A75"/>
    <w:rsid w:val="0049103D"/>
    <w:rsid w:val="004914CD"/>
    <w:rsid w:val="004B3317"/>
    <w:rsid w:val="004D7920"/>
    <w:rsid w:val="004F4EC5"/>
    <w:rsid w:val="00517845"/>
    <w:rsid w:val="005201CE"/>
    <w:rsid w:val="00571FDA"/>
    <w:rsid w:val="005907F1"/>
    <w:rsid w:val="005A6EF3"/>
    <w:rsid w:val="005C157A"/>
    <w:rsid w:val="005C2BF6"/>
    <w:rsid w:val="005F3D33"/>
    <w:rsid w:val="00610978"/>
    <w:rsid w:val="00616C8F"/>
    <w:rsid w:val="006362EE"/>
    <w:rsid w:val="00640577"/>
    <w:rsid w:val="006655BD"/>
    <w:rsid w:val="006900AB"/>
    <w:rsid w:val="0069257A"/>
    <w:rsid w:val="006C41BF"/>
    <w:rsid w:val="006E7379"/>
    <w:rsid w:val="00704BC7"/>
    <w:rsid w:val="00705940"/>
    <w:rsid w:val="00732456"/>
    <w:rsid w:val="0073597E"/>
    <w:rsid w:val="007456EE"/>
    <w:rsid w:val="00757E76"/>
    <w:rsid w:val="00767DD8"/>
    <w:rsid w:val="007738A3"/>
    <w:rsid w:val="007773F9"/>
    <w:rsid w:val="00777F00"/>
    <w:rsid w:val="00787C7A"/>
    <w:rsid w:val="007A1D18"/>
    <w:rsid w:val="007B2150"/>
    <w:rsid w:val="007F0B8F"/>
    <w:rsid w:val="00800136"/>
    <w:rsid w:val="00886783"/>
    <w:rsid w:val="00891539"/>
    <w:rsid w:val="00894671"/>
    <w:rsid w:val="008B14C7"/>
    <w:rsid w:val="008B2D20"/>
    <w:rsid w:val="008B73C5"/>
    <w:rsid w:val="008C1D82"/>
    <w:rsid w:val="008D31D1"/>
    <w:rsid w:val="008D4F4F"/>
    <w:rsid w:val="008E7A20"/>
    <w:rsid w:val="00904FF2"/>
    <w:rsid w:val="00905763"/>
    <w:rsid w:val="0090740F"/>
    <w:rsid w:val="0091038A"/>
    <w:rsid w:val="00920DD5"/>
    <w:rsid w:val="0095381E"/>
    <w:rsid w:val="009552D0"/>
    <w:rsid w:val="0096323F"/>
    <w:rsid w:val="00966ABB"/>
    <w:rsid w:val="009749B2"/>
    <w:rsid w:val="00975831"/>
    <w:rsid w:val="00981760"/>
    <w:rsid w:val="00986374"/>
    <w:rsid w:val="00986DA4"/>
    <w:rsid w:val="00990067"/>
    <w:rsid w:val="009A2D97"/>
    <w:rsid w:val="009B265C"/>
    <w:rsid w:val="009B459E"/>
    <w:rsid w:val="009B67F6"/>
    <w:rsid w:val="009C31AC"/>
    <w:rsid w:val="009C61CC"/>
    <w:rsid w:val="009D6BC8"/>
    <w:rsid w:val="009E1D13"/>
    <w:rsid w:val="00A245B1"/>
    <w:rsid w:val="00A25E18"/>
    <w:rsid w:val="00A52181"/>
    <w:rsid w:val="00A56846"/>
    <w:rsid w:val="00A640DA"/>
    <w:rsid w:val="00A77765"/>
    <w:rsid w:val="00A815F1"/>
    <w:rsid w:val="00AC2D94"/>
    <w:rsid w:val="00AC7824"/>
    <w:rsid w:val="00B010CE"/>
    <w:rsid w:val="00B01DAF"/>
    <w:rsid w:val="00B065C9"/>
    <w:rsid w:val="00B44EE0"/>
    <w:rsid w:val="00B558EE"/>
    <w:rsid w:val="00BB4668"/>
    <w:rsid w:val="00BC35F5"/>
    <w:rsid w:val="00BD6292"/>
    <w:rsid w:val="00BE020B"/>
    <w:rsid w:val="00BE1E66"/>
    <w:rsid w:val="00BE350F"/>
    <w:rsid w:val="00BF4152"/>
    <w:rsid w:val="00C07D09"/>
    <w:rsid w:val="00C4389B"/>
    <w:rsid w:val="00C46F1F"/>
    <w:rsid w:val="00C61460"/>
    <w:rsid w:val="00C73A16"/>
    <w:rsid w:val="00C73C0F"/>
    <w:rsid w:val="00C81A4E"/>
    <w:rsid w:val="00C85B9D"/>
    <w:rsid w:val="00C85F1C"/>
    <w:rsid w:val="00C86DEF"/>
    <w:rsid w:val="00C96D17"/>
    <w:rsid w:val="00CB2CC9"/>
    <w:rsid w:val="00CC5FB6"/>
    <w:rsid w:val="00CE2075"/>
    <w:rsid w:val="00D163E8"/>
    <w:rsid w:val="00D202C5"/>
    <w:rsid w:val="00D203DC"/>
    <w:rsid w:val="00D57D1A"/>
    <w:rsid w:val="00D70E1E"/>
    <w:rsid w:val="00D71A7F"/>
    <w:rsid w:val="00D80D10"/>
    <w:rsid w:val="00D87790"/>
    <w:rsid w:val="00DA32F3"/>
    <w:rsid w:val="00DB3495"/>
    <w:rsid w:val="00DC003C"/>
    <w:rsid w:val="00DC6BC4"/>
    <w:rsid w:val="00DD0E9F"/>
    <w:rsid w:val="00DD507B"/>
    <w:rsid w:val="00DE6552"/>
    <w:rsid w:val="00E12EF9"/>
    <w:rsid w:val="00E16944"/>
    <w:rsid w:val="00E21C12"/>
    <w:rsid w:val="00E23147"/>
    <w:rsid w:val="00E235D0"/>
    <w:rsid w:val="00E43F18"/>
    <w:rsid w:val="00E524D5"/>
    <w:rsid w:val="00E77B95"/>
    <w:rsid w:val="00E90B42"/>
    <w:rsid w:val="00E90BEC"/>
    <w:rsid w:val="00E92DC4"/>
    <w:rsid w:val="00EA5664"/>
    <w:rsid w:val="00EA5C0F"/>
    <w:rsid w:val="00EA634D"/>
    <w:rsid w:val="00EB3821"/>
    <w:rsid w:val="00EC0B39"/>
    <w:rsid w:val="00EE3E91"/>
    <w:rsid w:val="00EF65C5"/>
    <w:rsid w:val="00F00D78"/>
    <w:rsid w:val="00F1427D"/>
    <w:rsid w:val="00F25616"/>
    <w:rsid w:val="00F41499"/>
    <w:rsid w:val="00F42A9C"/>
    <w:rsid w:val="00F45788"/>
    <w:rsid w:val="00F542D9"/>
    <w:rsid w:val="00F91D50"/>
    <w:rsid w:val="00F94CEE"/>
    <w:rsid w:val="00FD053C"/>
    <w:rsid w:val="00FD46DE"/>
    <w:rsid w:val="00FE2F40"/>
    <w:rsid w:val="00FF4529"/>
    <w:rsid w:val="015A4CAB"/>
    <w:rsid w:val="02C322FF"/>
    <w:rsid w:val="05DD4FF5"/>
    <w:rsid w:val="0BD50F79"/>
    <w:rsid w:val="0DCE08EE"/>
    <w:rsid w:val="0EA909A2"/>
    <w:rsid w:val="15807F6B"/>
    <w:rsid w:val="1FA37E9D"/>
    <w:rsid w:val="22424B06"/>
    <w:rsid w:val="2BC465AE"/>
    <w:rsid w:val="2D655F7F"/>
    <w:rsid w:val="3B572F52"/>
    <w:rsid w:val="3BDD22BE"/>
    <w:rsid w:val="42DC5C94"/>
    <w:rsid w:val="436123D0"/>
    <w:rsid w:val="4B7734E1"/>
    <w:rsid w:val="4C6946B5"/>
    <w:rsid w:val="4EFC3AC1"/>
    <w:rsid w:val="50AF6AED"/>
    <w:rsid w:val="542F5F3C"/>
    <w:rsid w:val="54C57A80"/>
    <w:rsid w:val="556942AF"/>
    <w:rsid w:val="58694A68"/>
    <w:rsid w:val="5C3B496D"/>
    <w:rsid w:val="610F72CE"/>
    <w:rsid w:val="617A04DF"/>
    <w:rsid w:val="653914B1"/>
    <w:rsid w:val="68E40C6F"/>
    <w:rsid w:val="6DB73862"/>
    <w:rsid w:val="71861BFB"/>
    <w:rsid w:val="7290262E"/>
    <w:rsid w:val="75AC1115"/>
    <w:rsid w:val="76F37914"/>
    <w:rsid w:val="7D16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6" w:lineRule="auto"/>
      <w:ind w:firstLine="0" w:firstLineChars="0"/>
      <w:outlineLvl w:val="0"/>
    </w:pPr>
    <w:rPr>
      <w:rFonts w:asciiTheme="minorHAnsi" w:hAnsiTheme="minorHAnsi" w:eastAsiaTheme="minorEastAsia" w:cstheme="minorBidi"/>
      <w:b/>
      <w:kern w:val="44"/>
      <w:sz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ind w:firstLine="0" w:firstLineChars="0"/>
      <w:outlineLvl w:val="1"/>
    </w:pPr>
    <w:rPr>
      <w:rFonts w:eastAsia="黑体" w:cstheme="minorBidi"/>
      <w:b/>
      <w:sz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ind w:firstLine="0" w:firstLineChars="0"/>
      <w:outlineLvl w:val="2"/>
    </w:pPr>
    <w:rPr>
      <w:rFonts w:asciiTheme="minorHAnsi" w:hAnsiTheme="minorHAnsi" w:eastAsiaTheme="minorEastAsia" w:cstheme="minorBidi"/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2"/>
    <w:semiHidden/>
    <w:unhideWhenUsed/>
    <w:uiPriority w:val="99"/>
    <w:pPr>
      <w:ind w:left="100" w:leftChars="2500"/>
    </w:pPr>
  </w:style>
  <w:style w:type="paragraph" w:styleId="6">
    <w:name w:val="Balloon Text"/>
    <w:basedOn w:val="1"/>
    <w:link w:val="1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footnote text"/>
    <w:basedOn w:val="1"/>
    <w:link w:val="23"/>
    <w:qFormat/>
    <w:uiPriority w:val="0"/>
    <w:pPr>
      <w:snapToGrid w:val="0"/>
      <w:spacing w:line="240" w:lineRule="auto"/>
      <w:ind w:firstLine="0" w:firstLineChars="0"/>
      <w:jc w:val="left"/>
    </w:pPr>
    <w:rPr>
      <w:rFonts w:ascii="Times New Roman" w:hAnsi="Times New Roman" w:eastAsia="仿宋" w:cstheme="minorBidi"/>
      <w:sz w:val="18"/>
    </w:rPr>
  </w:style>
  <w:style w:type="paragraph" w:styleId="10">
    <w:name w:val="Normal (Web)"/>
    <w:basedOn w:val="1"/>
    <w:unhideWhenUsed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uiPriority w:val="99"/>
    <w:rPr>
      <w:color w:val="0000FF"/>
      <w:u w:val="single"/>
    </w:rPr>
  </w:style>
  <w:style w:type="character" w:styleId="15">
    <w:name w:val="footnote reference"/>
    <w:basedOn w:val="12"/>
    <w:qFormat/>
    <w:uiPriority w:val="0"/>
    <w:rPr>
      <w:vertAlign w:val="superscript"/>
    </w:rPr>
  </w:style>
  <w:style w:type="paragraph" w:customStyle="1" w:styleId="16">
    <w:name w:val="_正文段落"/>
    <w:basedOn w:val="1"/>
    <w:uiPriority w:val="0"/>
    <w:pPr>
      <w:spacing w:line="570" w:lineRule="exact"/>
    </w:pPr>
    <w:rPr>
      <w:rFonts w:ascii="Times New Roman" w:hAnsi="Times New Roman" w:eastAsia="方正仿宋_GBK"/>
      <w:kern w:val="0"/>
      <w:sz w:val="32"/>
    </w:rPr>
  </w:style>
  <w:style w:type="paragraph" w:styleId="17">
    <w:name w:val="List Paragraph"/>
    <w:basedOn w:val="1"/>
    <w:qFormat/>
    <w:uiPriority w:val="34"/>
    <w:pPr>
      <w:ind w:firstLine="420"/>
    </w:pPr>
  </w:style>
  <w:style w:type="character" w:customStyle="1" w:styleId="18">
    <w:name w:val="批注框文本 Char"/>
    <w:basedOn w:val="12"/>
    <w:link w:val="6"/>
    <w:semiHidden/>
    <w:uiPriority w:val="99"/>
    <w:rPr>
      <w:rFonts w:ascii="Arial" w:hAnsi="Arial" w:eastAsia="宋体" w:cs="Times New Roman"/>
      <w:sz w:val="18"/>
      <w:szCs w:val="18"/>
    </w:rPr>
  </w:style>
  <w:style w:type="character" w:customStyle="1" w:styleId="19">
    <w:name w:val="页眉 Char"/>
    <w:basedOn w:val="12"/>
    <w:link w:val="8"/>
    <w:uiPriority w:val="99"/>
    <w:rPr>
      <w:rFonts w:ascii="Arial" w:hAnsi="Arial" w:eastAsia="宋体" w:cs="Times New Roman"/>
      <w:sz w:val="18"/>
      <w:szCs w:val="18"/>
    </w:rPr>
  </w:style>
  <w:style w:type="character" w:customStyle="1" w:styleId="20">
    <w:name w:val="页脚 Char"/>
    <w:basedOn w:val="12"/>
    <w:link w:val="7"/>
    <w:uiPriority w:val="99"/>
    <w:rPr>
      <w:rFonts w:ascii="Arial" w:hAnsi="Arial" w:eastAsia="宋体" w:cs="Times New Roman"/>
      <w:sz w:val="18"/>
      <w:szCs w:val="18"/>
    </w:rPr>
  </w:style>
  <w:style w:type="character" w:customStyle="1" w:styleId="21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character" w:customStyle="1" w:styleId="22">
    <w:name w:val="日期 Char"/>
    <w:basedOn w:val="12"/>
    <w:link w:val="5"/>
    <w:semiHidden/>
    <w:uiPriority w:val="99"/>
    <w:rPr>
      <w:rFonts w:ascii="Arial" w:hAnsi="Arial" w:eastAsia="宋体" w:cs="Times New Roman"/>
      <w:szCs w:val="24"/>
    </w:rPr>
  </w:style>
  <w:style w:type="character" w:customStyle="1" w:styleId="23">
    <w:name w:val="脚注文本 Char"/>
    <w:basedOn w:val="12"/>
    <w:link w:val="9"/>
    <w:uiPriority w:val="0"/>
    <w:rPr>
      <w:rFonts w:ascii="Times New Roman" w:hAnsi="Times New Roman" w:eastAsia="仿宋"/>
      <w:sz w:val="18"/>
      <w:szCs w:val="24"/>
    </w:rPr>
  </w:style>
  <w:style w:type="character" w:customStyle="1" w:styleId="24">
    <w:name w:val="标题 1 Char"/>
    <w:basedOn w:val="12"/>
    <w:link w:val="2"/>
    <w:uiPriority w:val="0"/>
    <w:rPr>
      <w:b/>
      <w:kern w:val="44"/>
      <w:sz w:val="44"/>
      <w:szCs w:val="24"/>
    </w:rPr>
  </w:style>
  <w:style w:type="character" w:customStyle="1" w:styleId="25">
    <w:name w:val="标题 2 Char"/>
    <w:basedOn w:val="12"/>
    <w:link w:val="3"/>
    <w:uiPriority w:val="0"/>
    <w:rPr>
      <w:rFonts w:ascii="Arial" w:hAnsi="Arial" w:eastAsia="黑体"/>
      <w:b/>
      <w:sz w:val="32"/>
      <w:szCs w:val="24"/>
    </w:rPr>
  </w:style>
  <w:style w:type="character" w:customStyle="1" w:styleId="26">
    <w:name w:val="标题 3 Char"/>
    <w:basedOn w:val="12"/>
    <w:link w:val="4"/>
    <w:uiPriority w:val="0"/>
    <w:rPr>
      <w:b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8FCAB-5FE9-4895-A5E5-E575E3D40F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407</Words>
  <Characters>2325</Characters>
  <Lines>19</Lines>
  <Paragraphs>5</Paragraphs>
  <TotalTime>62</TotalTime>
  <ScaleCrop>false</ScaleCrop>
  <LinksUpToDate>false</LinksUpToDate>
  <CharactersWithSpaces>2727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2022-06-01T00:31:00Z</dcterms:created>
  <dc:creator>卢俊</dc:creator>
  <cp:lastModifiedBy>ks吴</cp:lastModifiedBy>
  <cp:lastPrinted>2022-06-16T00:27:00Z</cp:lastPrinted>
  <dcterms:modified xsi:type="dcterms:W3CDTF">2022-06-21T08:21:20Z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928019C619504434B4DC09B35D32FE35</vt:lpwstr>
  </property>
</Properties>
</file>