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ascii="仿宋_GB2312" w:hAnsi="黑体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相关单位审核推荐主体及申报限额汇总表</w:t>
      </w:r>
    </w:p>
    <w:tbl>
      <w:tblPr>
        <w:tblStyle w:val="2"/>
        <w:tblW w:w="8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138"/>
        <w:gridCol w:w="2323"/>
        <w:gridCol w:w="2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相关单位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审核推荐主体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申报限额（面上项目）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苏州大学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苏州大学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苏州科技大学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苏州科技大学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常熟理工学院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常熟理工学院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苏州城市学院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苏州城市学院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苏州工艺美术职业技术学院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苏州工艺美术职业技术学院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苏州工业职业技术学院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苏州工业职业技术学院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苏州市职业大学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苏州市职业大学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苏州农业职业技术学院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苏州农业职业技术学院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苏州卫生职业技术学院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苏州卫生职业技术学院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苏州经贸职业技术学院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苏州经贸职业技术学院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中共苏州市委党校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中共苏州市委党校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苏州信息职业技术学院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吴江区科技局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苏州石湖智库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吴中区科技局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苏州幼儿师范高等专科学校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相城区科技局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西交利物浦大学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苏州工业园区职业技术学院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苏州百年职业学院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苏州工业园区服务外包职业学院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苏州高博软件技术职业学院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高新区科创局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苏州科技大学天平学院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高新区科创局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苏州市农村干部学院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高新区科创局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张家港市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张家港市科技局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>2（含江苏科技大学苏州理工学院、沙洲职业工学院）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常熟市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常熟市科技局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太仓市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太仓市科技局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>2（含苏州健雄职业技术学院）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昆山市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昆山市科技局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>2（含昆山杜克大学、苏州托普信息职业技术学院、硅湖职业技术学院、昆山登云科技职业学院、苏州大学应用技术学院）</w:t>
            </w:r>
          </w:p>
        </w:tc>
      </w:tr>
    </w:tbl>
    <w:p>
      <w:pPr>
        <w:adjustRightInd w:val="0"/>
        <w:snapToGrid w:val="0"/>
        <w:spacing w:before="156" w:beforeLines="50" w:line="240" w:lineRule="atLeast"/>
        <w:ind w:firstLine="420" w:firstLineChars="200"/>
      </w:pPr>
      <w:r>
        <w:rPr>
          <w:rFonts w:hint="eastAsia" w:ascii="仿宋_GB2312" w:hAnsi="仿宋" w:eastAsia="仿宋_GB2312"/>
          <w:szCs w:val="21"/>
        </w:rPr>
        <w:t>注：各申报单位推荐的面上项目申报数不超过其2023年市软科学研究指令性项目立项数的150%。2023年未获指令性项目立项的，推荐项目数不超过2项。各县级市科技局推荐项目数不超过2项。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65057-1685-4766-AAF3-B4D35858DB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5545557-EDB4-4047-9AC4-B93A3F09CE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7B3E99-3B57-46B3-AAB0-8527F74381B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682E40C-BB6D-4C63-81FE-41363C26A1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4211E7A-A1DB-4E77-91A8-20FFE136CD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000000"/>
    <w:rsid w:val="43F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2024-03-26T05:59:53Z</dcterms:created>
  <dc:creator>user</dc:creator>
  <cp:lastModifiedBy>Troye的小简</cp:lastModifiedBy>
  <dcterms:modified xsi:type="dcterms:W3CDTF">2024-03-26T06:01:51Z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3F7748A1A9B649A4BE55251010076AA0_12</vt:lpwstr>
  </property>
</Properties>
</file>