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sz w:val="32"/>
          <w:szCs w:val="32"/>
        </w:rPr>
      </w:pPr>
      <w:r>
        <w:rPr>
          <w:rFonts w:hint="eastAsia" w:ascii="方正小标宋_GBK" w:hAnsi="Calibri" w:eastAsia="方正小标宋_GBK" w:cs="方正小标宋_GBK"/>
          <w:sz w:val="36"/>
          <w:szCs w:val="36"/>
        </w:rPr>
        <w:t>苏州工业园区会展业引导资金申报指南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按照《关于促进服务业高质量跨越发展的若干意见》（苏园管〔2019〕82号）要求，现组织202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年苏州工业园区会展业引导资金项目申报。</w:t>
      </w:r>
    </w:p>
    <w:p>
      <w:pPr>
        <w:rPr>
          <w:rFonts w:ascii="黑体" w:hAnsi="黑体" w:eastAsia="黑体" w:cs="黑体"/>
          <w:sz w:val="32"/>
          <w:szCs w:val="40"/>
        </w:rPr>
      </w:pPr>
      <w:r>
        <w:rPr>
          <w:rFonts w:hint="eastAsia" w:ascii="黑体" w:hAnsi="黑体" w:eastAsia="黑体" w:cs="黑体"/>
          <w:sz w:val="32"/>
          <w:szCs w:val="40"/>
        </w:rPr>
        <w:t>一、申报类别</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01、举办会议奖励</w:t>
      </w:r>
    </w:p>
    <w:p>
      <w:pPr>
        <w:rPr>
          <w:rFonts w:ascii="黑体" w:hAnsi="黑体" w:eastAsia="黑体" w:cs="黑体"/>
          <w:sz w:val="32"/>
          <w:szCs w:val="40"/>
        </w:rPr>
      </w:pPr>
      <w:r>
        <w:rPr>
          <w:rFonts w:hint="eastAsia" w:ascii="黑体" w:hAnsi="黑体" w:eastAsia="黑体" w:cs="黑体"/>
          <w:sz w:val="32"/>
          <w:szCs w:val="40"/>
        </w:rPr>
        <w:t>（一）申报要求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规模型会议。在园区专业会议载体、四星级（含）以上酒店或经园区会展主管部门认可的同等级品牌酒店中举办，会期2天及以上，</w:t>
      </w:r>
      <w:r>
        <w:rPr>
          <w:rFonts w:hint="eastAsia" w:ascii="仿宋_GB2312" w:hAnsi="仿宋_GB2312" w:eastAsia="仿宋_GB2312" w:cs="仿宋_GB2312"/>
          <w:sz w:val="32"/>
          <w:szCs w:val="32"/>
        </w:rPr>
        <w:t>参会人数</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2000人。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精英型会议。世界500强、中国500强、民政部登记且上年年检合格的全国性社会团体，以及国际大会及会议协会（ICCA）认证会议，在园区专业会议载体、四星级（含）以上酒店或经园区会展主管部门认可的同等级品牌酒店中举办，会期2天及以上，参会人数</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1000人。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产业促进会议。在园区专业会议载体、四星级（含）以上酒店或经园区会展主管部门认可的同等级品牌酒店中举办，会期2天及以上的产业论坛、会议，</w:t>
      </w:r>
      <w:r>
        <w:rPr>
          <w:rFonts w:hint="eastAsia" w:ascii="仿宋_GB2312" w:hAnsi="仿宋_GB2312" w:eastAsia="仿宋_GB2312" w:cs="仿宋_GB2312"/>
          <w:sz w:val="32"/>
          <w:szCs w:val="32"/>
          <w:lang w:eastAsia="zh-CN"/>
        </w:rPr>
        <w:t>且符</w:t>
      </w:r>
      <w:r>
        <w:rPr>
          <w:rFonts w:ascii="仿宋_GB2312" w:hAnsi="仿宋_GB2312" w:eastAsia="仿宋_GB2312" w:cs="仿宋_GB2312"/>
          <w:sz w:val="32"/>
          <w:szCs w:val="32"/>
        </w:rPr>
        <w:t>合园区产业转型升级要求，</w:t>
      </w:r>
      <w:r>
        <w:rPr>
          <w:rFonts w:ascii="仿宋_GB2312" w:hAnsi="仿宋_GB2312" w:eastAsia="仿宋_GB2312" w:cs="仿宋_GB2312"/>
          <w:bCs/>
          <w:sz w:val="32"/>
          <w:szCs w:val="32"/>
        </w:rPr>
        <w:t>参会人数</w:t>
      </w:r>
      <w:r>
        <w:rPr>
          <w:rFonts w:hint="eastAsia" w:ascii="仿宋_GB2312" w:hAnsi="仿宋_GB2312" w:eastAsia="仿宋_GB2312" w:cs="仿宋_GB2312"/>
          <w:bCs/>
          <w:sz w:val="32"/>
          <w:szCs w:val="32"/>
          <w:lang w:eastAsia="zh-CN"/>
        </w:rPr>
        <w:t>达</w:t>
      </w:r>
      <w:r>
        <w:rPr>
          <w:rFonts w:ascii="仿宋_GB2312" w:hAnsi="仿宋_GB2312" w:eastAsia="仿宋_GB2312" w:cs="仿宋_GB2312"/>
          <w:bCs/>
          <w:sz w:val="32"/>
          <w:szCs w:val="32"/>
        </w:rPr>
        <w:t>200</w:t>
      </w:r>
      <w:r>
        <w:rPr>
          <w:rFonts w:hint="eastAsia" w:ascii="仿宋_GB2312" w:hAnsi="仿宋_GB2312" w:eastAsia="仿宋_GB2312" w:cs="仿宋_GB2312"/>
          <w:bCs/>
          <w:sz w:val="32"/>
          <w:szCs w:val="32"/>
        </w:rPr>
        <w:t>人。</w:t>
      </w:r>
    </w:p>
    <w:p>
      <w:pPr>
        <w:rPr>
          <w:rFonts w:ascii="黑体" w:hAnsi="黑体" w:eastAsia="黑体" w:cs="黑体"/>
          <w:sz w:val="32"/>
          <w:szCs w:val="40"/>
        </w:rPr>
      </w:pPr>
      <w:r>
        <w:rPr>
          <w:rFonts w:hint="eastAsia" w:ascii="黑体" w:hAnsi="黑体" w:eastAsia="黑体" w:cs="黑体"/>
          <w:sz w:val="32"/>
          <w:szCs w:val="40"/>
        </w:rPr>
        <w:t>（二）扶持政策</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1、符合第1条</w:t>
      </w:r>
      <w:r>
        <w:rPr>
          <w:rFonts w:ascii="仿宋_GB2312" w:hAnsi="仿宋_GB2312" w:eastAsia="仿宋_GB2312" w:cs="仿宋_GB2312"/>
          <w:sz w:val="32"/>
          <w:szCs w:val="32"/>
        </w:rPr>
        <w:t>规模型会议</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参会人数2000-5999人的，给予15万元补贴；参会人数达6000人以上的，给予20万元补贴。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2、符合第2条</w:t>
      </w:r>
      <w:r>
        <w:rPr>
          <w:rFonts w:ascii="仿宋_GB2312" w:hAnsi="仿宋_GB2312" w:eastAsia="仿宋_GB2312" w:cs="仿宋_GB2312"/>
          <w:sz w:val="32"/>
          <w:szCs w:val="32"/>
        </w:rPr>
        <w:t>精英型会议</w:t>
      </w:r>
      <w:r>
        <w:rPr>
          <w:rFonts w:hint="eastAsia" w:ascii="仿宋_GB2312" w:hAnsi="仿宋_GB2312" w:eastAsia="仿宋_GB2312" w:cs="仿宋_GB2312"/>
          <w:sz w:val="32"/>
          <w:szCs w:val="32"/>
        </w:rPr>
        <w:t>要求：</w:t>
      </w:r>
      <w:r>
        <w:rPr>
          <w:rFonts w:ascii="仿宋_GB2312" w:hAnsi="仿宋_GB2312" w:eastAsia="仿宋_GB2312" w:cs="仿宋_GB2312"/>
          <w:sz w:val="32"/>
          <w:szCs w:val="32"/>
        </w:rPr>
        <w:t>经认定，参会人数1000-1999人给予10万元补贴；参会人数2000-2999人给予15万元补贴；参会达3000人以上给予30万元补贴。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3、符合第3条产业促进会议要求：</w:t>
      </w:r>
      <w:r>
        <w:rPr>
          <w:rFonts w:ascii="仿宋_GB2312" w:hAnsi="仿宋_GB2312" w:eastAsia="仿宋_GB2312" w:cs="仿宋_GB2312"/>
          <w:sz w:val="32"/>
          <w:szCs w:val="32"/>
        </w:rPr>
        <w:t>经认定，参会人数200-499人给予5万元补贴；参会达500人以上给予10万元补贴。</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在园区连续举办三届及以上的规模型及精英型会议，自第三届起，按在原有补贴额的基础上最高上浮30%兑现；在园区连续举办三届及以上的产业导向会议，自第三届起，按在原有补贴额的基础上最高上浮20%兑现。</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1、活动介绍和总结 ；</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、会议规模证明（按照系统模板提供）</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电子报名或签到记录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现场照片、录像</w:t>
      </w:r>
      <w:r>
        <w:rPr>
          <w:rFonts w:hint="eastAsia" w:ascii="仿宋_GB2312" w:hAnsi="仿宋_GB2312" w:eastAsia="仿宋_GB2312" w:cs="仿宋_GB2312"/>
          <w:sz w:val="32"/>
          <w:szCs w:val="32"/>
          <w:lang w:eastAsia="zh-CN"/>
        </w:rPr>
        <w:t>、餐券发放记录</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可反映参会人数的辅助材料</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、场地租用相关材料（场地租用合同，如实际使用发生变化的，需附结算确认单、场租发票和支付凭证）；</w:t>
      </w:r>
    </w:p>
    <w:p>
      <w:pPr>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、各类认证证明材料(获各类认证的，需提供证书、认证合同、认证费用发票及支付凭证)；</w:t>
      </w:r>
    </w:p>
    <w:p>
      <w:pPr>
        <w:rPr>
          <w:rFonts w:hint="eastAsia"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、举办三届的证明材料(在园区连续举办三届及以上的，需提供至少两年往届展会总结、场地租用合同,如实际使用发生变化的，需附结算确认单、场租发票及支付凭证)。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02、</w:t>
      </w:r>
      <w:r>
        <w:rPr>
          <w:rFonts w:hint="eastAsia" w:ascii="仿宋_GB2312" w:hAnsi="仿宋_GB2312" w:eastAsia="仿宋_GB2312" w:cs="仿宋_GB2312"/>
          <w:sz w:val="32"/>
          <w:szCs w:val="32"/>
        </w:rPr>
        <w:t>会议酒店招商奖励</w:t>
      </w:r>
    </w:p>
    <w:p>
      <w:pPr>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酒店</w:t>
      </w:r>
      <w:r>
        <w:rPr>
          <w:rFonts w:ascii="仿宋_GB2312" w:hAnsi="仿宋_GB2312" w:eastAsia="仿宋_GB2312" w:cs="仿宋_GB2312"/>
          <w:bCs/>
          <w:sz w:val="32"/>
          <w:szCs w:val="32"/>
        </w:rPr>
        <w:t>全年举办超过20场500人以上会议</w:t>
      </w:r>
      <w:r>
        <w:rPr>
          <w:rFonts w:hint="eastAsia" w:ascii="仿宋_GB2312" w:hAnsi="仿宋_GB2312" w:eastAsia="仿宋_GB2312" w:cs="仿宋_GB2312"/>
          <w:bCs/>
          <w:sz w:val="32"/>
          <w:szCs w:val="32"/>
        </w:rPr>
        <w:t>。</w:t>
      </w:r>
    </w:p>
    <w:p>
      <w:pPr>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对全年举办超过20场500人以上会议的酒店，经备案，给予0.5至1万元招商奖励，奖励资金须由酒店奖励给销售人员。</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1、全</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举办20场500人以上会议的证明材料（场地租赁合同、餐饮及住宿合同、媒体报道</w:t>
      </w:r>
      <w:r>
        <w:rPr>
          <w:rFonts w:hint="eastAsia" w:ascii="仿宋_GB2312" w:hAnsi="仿宋_GB2312" w:eastAsia="仿宋_GB2312" w:cs="仿宋_GB2312"/>
          <w:sz w:val="32"/>
          <w:szCs w:val="32"/>
          <w:lang w:eastAsia="zh-CN"/>
        </w:rPr>
        <w:t>以及其他体现人数的证明材料</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2、资金将奖励给销售人员的承诺书（</w:t>
      </w:r>
      <w:r>
        <w:rPr>
          <w:rFonts w:ascii="仿宋_GB2312" w:hAnsi="仿宋_GB2312" w:eastAsia="仿宋_GB2312" w:cs="仿宋_GB2312"/>
          <w:sz w:val="32"/>
          <w:szCs w:val="32"/>
        </w:rPr>
        <w:t>无格式要求，</w:t>
      </w:r>
      <w:r>
        <w:rPr>
          <w:rFonts w:hint="eastAsia" w:ascii="仿宋_GB2312" w:hAnsi="仿宋_GB2312" w:eastAsia="仿宋_GB2312" w:cs="仿宋_GB2312"/>
          <w:sz w:val="32"/>
          <w:szCs w:val="32"/>
        </w:rPr>
        <w:t>自拟</w:t>
      </w:r>
      <w:r>
        <w:rPr>
          <w:rFonts w:ascii="仿宋_GB2312" w:hAnsi="仿宋_GB2312" w:eastAsia="仿宋_GB2312" w:cs="仿宋_GB2312"/>
          <w:sz w:val="32"/>
          <w:szCs w:val="32"/>
        </w:rPr>
        <w:t>需盖公章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3、园区外申报单位需提供近三年信用查询报告。</w:t>
      </w:r>
    </w:p>
    <w:p>
      <w:pPr>
        <w:rPr>
          <w:rFonts w:hint="eastAsia" w:ascii="仿宋_GB2312" w:hAnsi="仿宋_GB2312" w:eastAsia="仿宋_GB2312" w:cs="仿宋_GB2312"/>
          <w:sz w:val="32"/>
          <w:szCs w:val="32"/>
          <w:lang w:val="en-US" w:eastAsia="zh-CN"/>
        </w:rPr>
      </w:pPr>
    </w:p>
    <w:p>
      <w:pPr>
        <w:rPr>
          <w:rFonts w:ascii="仿宋_GB2312" w:hAnsi="仿宋_GB2312" w:eastAsia="仿宋_GB2312" w:cs="仿宋_GB2312"/>
          <w:sz w:val="32"/>
          <w:szCs w:val="32"/>
        </w:rPr>
      </w:pPr>
      <w:r>
        <w:rPr>
          <w:rFonts w:hint="eastAsia" w:ascii="黑体" w:hAnsi="黑体" w:eastAsia="黑体" w:cs="黑体"/>
          <w:sz w:val="32"/>
          <w:szCs w:val="40"/>
        </w:rPr>
        <w:t>03、</w:t>
      </w:r>
      <w:r>
        <w:rPr>
          <w:rFonts w:hint="eastAsia" w:ascii="仿宋_GB2312" w:hAnsi="仿宋_GB2312" w:eastAsia="仿宋_GB2312" w:cs="仿宋_GB2312"/>
          <w:sz w:val="32"/>
          <w:szCs w:val="32"/>
        </w:rPr>
        <w:t>举办展览奖励</w:t>
      </w:r>
    </w:p>
    <w:p>
      <w:pPr>
        <w:rPr>
          <w:rFonts w:ascii="黑体" w:hAnsi="黑体" w:eastAsia="黑体" w:cs="黑体"/>
          <w:sz w:val="32"/>
          <w:szCs w:val="40"/>
        </w:rPr>
      </w:pPr>
      <w:r>
        <w:rPr>
          <w:rFonts w:hint="eastAsia" w:ascii="黑体" w:hAnsi="黑体" w:eastAsia="黑体" w:cs="黑体"/>
          <w:sz w:val="32"/>
          <w:szCs w:val="40"/>
        </w:rPr>
        <w:t>（一）申报要求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符合下列条件之一：</w:t>
      </w:r>
    </w:p>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Cs/>
          <w:sz w:val="32"/>
          <w:szCs w:val="32"/>
        </w:rPr>
        <w:t>自办品牌</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符合园区产业发展方向的专业类展会</w:t>
      </w:r>
      <w:r>
        <w:rPr>
          <w:rFonts w:hint="eastAsia" w:ascii="仿宋_GB2312" w:hAnsi="仿宋_GB2312" w:eastAsia="仿宋_GB2312" w:cs="仿宋_GB2312"/>
          <w:bCs/>
          <w:sz w:val="32"/>
          <w:szCs w:val="32"/>
        </w:rPr>
        <w:t>，自办</w:t>
      </w:r>
      <w:r>
        <w:rPr>
          <w:rFonts w:ascii="仿宋_GB2312" w:hAnsi="仿宋_GB2312" w:eastAsia="仿宋_GB2312" w:cs="仿宋_GB2312"/>
          <w:bCs/>
          <w:sz w:val="32"/>
          <w:szCs w:val="32"/>
        </w:rPr>
        <w:t>展览面积达到或超过6000平方米</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2、自办</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自办</w:t>
      </w:r>
      <w:r>
        <w:rPr>
          <w:rFonts w:ascii="仿宋_GB2312" w:hAnsi="仿宋_GB2312" w:eastAsia="仿宋_GB2312" w:cs="仿宋_GB2312"/>
          <w:bCs/>
          <w:sz w:val="32"/>
          <w:szCs w:val="32"/>
        </w:rPr>
        <w:t>展览面积达到或超过20000平方米的专业类展会</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3、外来</w:t>
      </w:r>
      <w:r>
        <w:rPr>
          <w:rFonts w:ascii="仿宋_GB2312" w:hAnsi="仿宋_GB2312" w:eastAsia="仿宋_GB2312" w:cs="仿宋_GB2312"/>
          <w:bCs/>
          <w:sz w:val="32"/>
          <w:szCs w:val="32"/>
        </w:rPr>
        <w:t>品牌展：获得国际展览联盟(UFI)、国际展览与项目协会（IAEE）、国际独立组展商协会（SISO）认证</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或者具有国际性（参展单位来自5个以上不同国家或地区）、全国性影响力（民政部登记且上年年检合格的全国性社会团体、机构主承办或省外参展企业数量占比达到20%以上）的知名品牌展览</w:t>
      </w:r>
      <w:r>
        <w:rPr>
          <w:rFonts w:hint="eastAsia" w:ascii="仿宋_GB2312" w:hAnsi="仿宋_GB2312" w:eastAsia="仿宋_GB2312" w:cs="仿宋_GB2312"/>
          <w:bCs/>
          <w:sz w:val="32"/>
          <w:szCs w:val="32"/>
        </w:rPr>
        <w:t>；</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4、外来</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外来</w:t>
      </w:r>
      <w:r>
        <w:rPr>
          <w:rFonts w:ascii="仿宋_GB2312" w:hAnsi="仿宋_GB2312" w:eastAsia="仿宋_GB2312" w:cs="仿宋_GB2312"/>
          <w:bCs/>
          <w:sz w:val="32"/>
          <w:szCs w:val="32"/>
        </w:rPr>
        <w:t>展览面积达到或超过20000平方米的专业类展会</w:t>
      </w:r>
      <w:r>
        <w:rPr>
          <w:rFonts w:hint="eastAsia" w:ascii="仿宋_GB2312" w:hAnsi="仿宋_GB2312" w:eastAsia="仿宋_GB2312" w:cs="仿宋_GB2312"/>
          <w:bCs/>
          <w:sz w:val="32"/>
          <w:szCs w:val="32"/>
        </w:rPr>
        <w:t>。</w:t>
      </w: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w:t>
      </w:r>
      <w:r>
        <w:rPr>
          <w:rFonts w:ascii="仿宋_GB2312" w:hAnsi="仿宋_GB2312" w:eastAsia="仿宋_GB2312" w:cs="仿宋_GB2312"/>
          <w:b/>
          <w:bCs/>
          <w:sz w:val="32"/>
          <w:szCs w:val="32"/>
        </w:rPr>
        <w:t>自办展（由在园区注册的企业、单位主办的展览）</w:t>
      </w:r>
      <w:r>
        <w:rPr>
          <w:rFonts w:hint="eastAsia" w:ascii="仿宋_GB2312" w:hAnsi="仿宋_GB2312" w:eastAsia="仿宋_GB2312" w:cs="仿宋_GB2312"/>
          <w:b/>
          <w:bCs/>
          <w:sz w:val="32"/>
          <w:szCs w:val="32"/>
        </w:rPr>
        <w:t>，</w:t>
      </w:r>
      <w:r>
        <w:rPr>
          <w:rFonts w:ascii="仿宋_GB2312" w:hAnsi="仿宋_GB2312" w:eastAsia="仿宋_GB2312" w:cs="仿宋_GB2312"/>
          <w:b/>
          <w:bCs/>
          <w:sz w:val="32"/>
          <w:szCs w:val="32"/>
        </w:rPr>
        <w:t>外来展（由非园区注册的企业、单位主办的展览）</w:t>
      </w:r>
      <w:r>
        <w:rPr>
          <w:rFonts w:hint="eastAsia" w:ascii="仿宋_GB2312" w:hAnsi="仿宋_GB2312" w:eastAsia="仿宋_GB2312" w:cs="仿宋_GB2312"/>
          <w:b/>
          <w:bCs/>
          <w:sz w:val="32"/>
          <w:szCs w:val="32"/>
          <w:lang w:eastAsia="zh-CN"/>
        </w:rPr>
        <w:t>，展览需为按照市场化运作方式举办</w:t>
      </w:r>
      <w:r>
        <w:rPr>
          <w:rFonts w:ascii="仿宋_GB2312" w:hAnsi="仿宋_GB2312" w:eastAsia="仿宋_GB2312" w:cs="仿宋_GB2312"/>
          <w:b/>
          <w:bCs/>
          <w:sz w:val="32"/>
          <w:szCs w:val="32"/>
        </w:rPr>
        <w:t>。</w:t>
      </w:r>
    </w:p>
    <w:p>
      <w:pPr>
        <w:rPr>
          <w:rFonts w:ascii="黑体" w:hAnsi="黑体" w:eastAsia="黑体" w:cs="黑体"/>
          <w:sz w:val="32"/>
          <w:szCs w:val="40"/>
          <w:highlight w:val="red"/>
        </w:rPr>
      </w:pPr>
      <w:r>
        <w:rPr>
          <w:rFonts w:hint="eastAsia" w:ascii="黑体" w:hAnsi="黑体" w:eastAsia="黑体" w:cs="黑体"/>
          <w:sz w:val="32"/>
          <w:szCs w:val="40"/>
        </w:rPr>
        <w:t>（二）</w:t>
      </w:r>
      <w:r>
        <w:rPr>
          <w:rFonts w:hint="eastAsia" w:ascii="黑体" w:hAnsi="黑体" w:eastAsia="黑体" w:cs="黑体"/>
          <w:color w:val="000000" w:themeColor="text1"/>
          <w:sz w:val="32"/>
          <w:szCs w:val="40"/>
          <w:highlight w:val="none"/>
        </w:rPr>
        <w:t>扶持政策</w:t>
      </w:r>
    </w:p>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1、符合第一条</w:t>
      </w:r>
      <w:r>
        <w:rPr>
          <w:rFonts w:hint="eastAsia" w:ascii="仿宋_GB2312" w:hAnsi="仿宋_GB2312" w:eastAsia="仿宋_GB2312" w:cs="仿宋_GB2312"/>
          <w:bCs/>
          <w:sz w:val="32"/>
          <w:szCs w:val="32"/>
        </w:rPr>
        <w:t>自办品牌</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按其实际租用场馆场租费用（原则上不得超过当年度同类展会的市场价，下同）给予不超过20%的补贴。</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2、符合第二条自办</w:t>
      </w:r>
      <w:r>
        <w:rPr>
          <w:rFonts w:ascii="仿宋_GB2312" w:hAnsi="仿宋_GB2312" w:eastAsia="仿宋_GB2312" w:cs="仿宋_GB2312"/>
          <w:bCs/>
          <w:sz w:val="32"/>
          <w:szCs w:val="32"/>
        </w:rPr>
        <w:t>规模展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按其实际租用场馆场租费用给予不超过20%的补贴。展览面积达到或超过50000平方米的自办展，按其实际租用场馆场租费用给予不超过25%的补贴。</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3、符合第三条外来</w:t>
      </w:r>
      <w:r>
        <w:rPr>
          <w:rFonts w:ascii="仿宋_GB2312" w:hAnsi="仿宋_GB2312" w:eastAsia="仿宋_GB2312" w:cs="仿宋_GB2312"/>
          <w:bCs/>
          <w:sz w:val="32"/>
          <w:szCs w:val="32"/>
        </w:rPr>
        <w:t>品牌展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按其实际租用场馆场租费用给予不超过20%的补贴；在园区连续举办三届及以上的，自第三届起，按其实际租用场馆场租费用给予不超过30%的补贴。</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4、符合第四条外来规模</w:t>
      </w:r>
      <w:r>
        <w:rPr>
          <w:rFonts w:ascii="仿宋_GB2312" w:hAnsi="仿宋_GB2312" w:eastAsia="仿宋_GB2312" w:cs="仿宋_GB2312"/>
          <w:bCs/>
          <w:sz w:val="32"/>
          <w:szCs w:val="32"/>
        </w:rPr>
        <w:t>展</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按其实际租用场馆场租费用给予不超过20%的补贴。展览面积达到或超过50000平方米的自办展，按其实际租用场馆场租费用给予不超过25%的补贴。</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5、</w:t>
      </w:r>
      <w:r>
        <w:rPr>
          <w:rFonts w:ascii="仿宋_GB2312" w:hAnsi="仿宋_GB2312" w:eastAsia="仿宋_GB2312" w:cs="仿宋_GB2312"/>
          <w:bCs/>
          <w:sz w:val="32"/>
          <w:szCs w:val="32"/>
        </w:rPr>
        <w:t>园区展览淡季为1-2月及7-8月。在淡季举办的展览符合以上扶持条件的，在原有补贴额的基础上最高上浮30%兑现。</w:t>
      </w:r>
    </w:p>
    <w:p>
      <w:pPr>
        <w:rPr>
          <w:rFonts w:ascii="黑体" w:hAnsi="黑体" w:eastAsia="黑体" w:cs="黑体"/>
          <w:sz w:val="32"/>
          <w:szCs w:val="40"/>
        </w:rPr>
      </w:pPr>
      <w:r>
        <w:rPr>
          <w:rFonts w:hint="eastAsia" w:ascii="黑体" w:hAnsi="黑体" w:eastAsia="黑体" w:cs="黑体"/>
          <w:sz w:val="32"/>
          <w:szCs w:val="40"/>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1、展会项目介绍及本届展会总结；</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2、场地租用相关材料（场地租用合同，如实际使用发生变化的，需附结算确认单、场租发票和支付凭证）；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3、各类认证证明材料（获各类认证的，需提供证书、认证合同、认证费用发票及支付凭证）；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4、举办三届的证明材料（在园区连续举办三届及以上的，需提供至少两年往届展会总结、场地租用合同，如实际使用发生变化的，需附结算确认单、场租发票及支付凭证）</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04、新设会展机构房租补贴</w:t>
      </w:r>
    </w:p>
    <w:p>
      <w:pPr>
        <w:rPr>
          <w:rFonts w:ascii="黑体" w:hAnsi="黑体" w:eastAsia="黑体" w:cs="黑体"/>
          <w:sz w:val="32"/>
          <w:szCs w:val="40"/>
        </w:rPr>
      </w:pPr>
      <w:r>
        <w:rPr>
          <w:rFonts w:hint="eastAsia" w:ascii="黑体" w:hAnsi="黑体" w:eastAsia="黑体" w:cs="黑体"/>
          <w:sz w:val="32"/>
          <w:szCs w:val="40"/>
        </w:rPr>
        <w:t>（一）申报要求</w:t>
      </w:r>
    </w:p>
    <w:p>
      <w:pPr>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新设专业会议组织者和目的地管理公司等专业机构在园区注册且12个月内在园区举办展览、会议或提供展览、会议相关服务</w:t>
      </w:r>
      <w:r>
        <w:rPr>
          <w:rFonts w:hint="eastAsia" w:ascii="仿宋_GB2312" w:hAnsi="仿宋_GB2312" w:eastAsia="仿宋_GB2312" w:cs="仿宋_GB2312"/>
          <w:bCs/>
          <w:sz w:val="32"/>
          <w:szCs w:val="32"/>
        </w:rPr>
        <w:t>。</w:t>
      </w:r>
    </w:p>
    <w:p>
      <w:pPr>
        <w:rPr>
          <w:rFonts w:ascii="黑体" w:hAnsi="黑体" w:eastAsia="黑体" w:cs="黑体"/>
          <w:sz w:val="32"/>
          <w:szCs w:val="40"/>
        </w:rPr>
      </w:pPr>
      <w:r>
        <w:rPr>
          <w:rFonts w:hint="eastAsia" w:ascii="黑体" w:hAnsi="黑体" w:eastAsia="黑体" w:cs="黑体"/>
          <w:sz w:val="32"/>
          <w:szCs w:val="40"/>
        </w:rPr>
        <w:t>（二）扶持政策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对符合要求的会展机构</w:t>
      </w:r>
      <w:r>
        <w:rPr>
          <w:rFonts w:ascii="仿宋_GB2312" w:hAnsi="仿宋_GB2312" w:eastAsia="仿宋_GB2312" w:cs="仿宋_GB2312"/>
          <w:sz w:val="32"/>
          <w:szCs w:val="32"/>
        </w:rPr>
        <w:t>按其所租赁办公面积给予两年租金补贴，补贴比例为每平方米不超过30元/月，补贴总额不超过15万元/年。</w:t>
      </w:r>
    </w:p>
    <w:p>
      <w:pPr>
        <w:rPr>
          <w:rFonts w:ascii="黑体" w:hAnsi="黑体" w:eastAsia="黑体" w:cs="黑体"/>
          <w:sz w:val="32"/>
          <w:szCs w:val="40"/>
        </w:rPr>
      </w:pPr>
      <w:r>
        <w:rPr>
          <w:rFonts w:hint="eastAsia" w:ascii="黑体" w:hAnsi="黑体" w:eastAsia="黑体" w:cs="黑体"/>
          <w:sz w:val="32"/>
          <w:szCs w:val="40"/>
        </w:rPr>
        <w:t>（三）申报材料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办公场地租赁合同（需含业主房产证、土地证）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会议、展览</w:t>
      </w:r>
      <w:r>
        <w:rPr>
          <w:rFonts w:hint="eastAsia" w:ascii="仿宋_GB2312" w:hAnsi="仿宋_GB2312" w:eastAsia="仿宋_GB2312" w:cs="仿宋_GB2312"/>
          <w:sz w:val="32"/>
          <w:szCs w:val="32"/>
        </w:rPr>
        <w:t>项目介绍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场地租用合同</w:t>
      </w:r>
      <w:r>
        <w:rPr>
          <w:rFonts w:hint="eastAsia" w:ascii="仿宋_GB2312" w:hAnsi="仿宋_GB2312" w:eastAsia="仿宋_GB2312" w:cs="仿宋_GB2312"/>
          <w:sz w:val="32"/>
          <w:szCs w:val="32"/>
          <w:lang w:eastAsia="zh-CN"/>
        </w:rPr>
        <w:t>及发票、活动照片等</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3、园区外申报单位需提供近三年信用查询报告。</w:t>
      </w:r>
    </w:p>
    <w:p>
      <w:pPr>
        <w:rPr>
          <w:rFonts w:ascii="黑体" w:hAnsi="黑体" w:eastAsia="黑体" w:cs="黑体"/>
          <w:sz w:val="32"/>
          <w:szCs w:val="40"/>
        </w:rPr>
      </w:pPr>
      <w:r>
        <w:rPr>
          <w:rFonts w:hint="eastAsia" w:ascii="黑体" w:hAnsi="黑体" w:eastAsia="黑体" w:cs="黑体"/>
          <w:sz w:val="32"/>
          <w:szCs w:val="40"/>
        </w:rPr>
        <w:t>三、注意点</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1、除提供指南中要求的必备申报材料外，申报单位可根据实际情况提供其它相关业务资质和其他项目相关证明材料。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2、申报材料中涉及外文的合同、发票等请自行翻译主要内容。</w:t>
      </w:r>
    </w:p>
    <w:p>
      <w:pPr>
        <w:rPr>
          <w:rFonts w:ascii="黑体" w:hAnsi="黑体" w:eastAsia="黑体" w:cs="黑体"/>
          <w:sz w:val="32"/>
          <w:szCs w:val="40"/>
        </w:rPr>
      </w:pPr>
      <w:r>
        <w:rPr>
          <w:rFonts w:hint="eastAsia" w:ascii="黑体" w:hAnsi="黑体" w:eastAsia="黑体" w:cs="黑体"/>
          <w:sz w:val="32"/>
          <w:szCs w:val="40"/>
          <w:lang w:eastAsia="zh-CN"/>
        </w:rPr>
        <w:t>四</w:t>
      </w:r>
      <w:r>
        <w:rPr>
          <w:rFonts w:hint="eastAsia" w:ascii="黑体" w:hAnsi="黑体" w:eastAsia="黑体" w:cs="黑体"/>
          <w:sz w:val="32"/>
          <w:szCs w:val="40"/>
        </w:rPr>
        <w:t>、资金拨付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贸区综合协调局、苏州工业园区企业发展服务中心将依据政策规定，在项目初审、第三方专项审计、项目公示、上报园区管委会审定等程序后一次性拨付专项支持资金。在资金拨付前，申报单位原则上需提交经审计的</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年度财务报告。</w:t>
      </w:r>
      <w:bookmarkStart w:id="0" w:name="_GoBack"/>
      <w:bookmarkEnd w:id="0"/>
    </w:p>
    <w:p>
      <w:pPr>
        <w:rPr>
          <w:rFonts w:ascii="黑体" w:hAnsi="黑体" w:eastAsia="黑体" w:cs="黑体"/>
          <w:sz w:val="32"/>
          <w:szCs w:val="40"/>
        </w:rPr>
      </w:pPr>
      <w:r>
        <w:rPr>
          <w:rFonts w:hint="eastAsia" w:ascii="黑体" w:hAnsi="黑体" w:eastAsia="黑体" w:cs="黑体"/>
          <w:sz w:val="32"/>
          <w:szCs w:val="40"/>
          <w:lang w:eastAsia="zh-CN"/>
        </w:rPr>
        <w:t>五</w:t>
      </w:r>
      <w:r>
        <w:rPr>
          <w:rFonts w:hint="eastAsia" w:ascii="黑体" w:hAnsi="黑体" w:eastAsia="黑体" w:cs="黑体"/>
          <w:sz w:val="32"/>
          <w:szCs w:val="40"/>
        </w:rPr>
        <w:t>、其他说明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（一）申报单位须对照申报指南进行申报，并签订统一的信用承诺，保证申报材料的真实性、合法性及未重复申报等；签订统一的权责制协议，明确受助项目的责任和义务。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单位应无保留接受园区财政、自贸局、企服中心委托的第三方审计部门对企业申报资质、材料进行核查，配合主管部门监督检查，配合提供服务业发展引导资金使用情况和项目实施后的示范效果相应文件、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（三）根据需要，如需增加相应补充材料另行通知。</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骝.">
    <w:altName w:val="宋体"/>
    <w:panose1 w:val="00000000000000000000"/>
    <w:charset w:val="86"/>
    <w:family w:val="roma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6</w:t>
    </w:r>
    <w:r>
      <w:rPr>
        <w:rStyle w:val="11"/>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66C9"/>
    <w:rsid w:val="00100C4E"/>
    <w:rsid w:val="00102FD3"/>
    <w:rsid w:val="00104C13"/>
    <w:rsid w:val="00105703"/>
    <w:rsid w:val="001063B9"/>
    <w:rsid w:val="001114A7"/>
    <w:rsid w:val="00121FF9"/>
    <w:rsid w:val="00123048"/>
    <w:rsid w:val="00126F3C"/>
    <w:rsid w:val="0014677F"/>
    <w:rsid w:val="0015363C"/>
    <w:rsid w:val="00154818"/>
    <w:rsid w:val="00156369"/>
    <w:rsid w:val="0016068D"/>
    <w:rsid w:val="00160AD7"/>
    <w:rsid w:val="001612B7"/>
    <w:rsid w:val="00161AD4"/>
    <w:rsid w:val="001639A0"/>
    <w:rsid w:val="00167618"/>
    <w:rsid w:val="0017067F"/>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E7724"/>
    <w:rsid w:val="001F0940"/>
    <w:rsid w:val="001F286E"/>
    <w:rsid w:val="001F3D8E"/>
    <w:rsid w:val="001F4924"/>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2101"/>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D30E1"/>
    <w:rsid w:val="002D7132"/>
    <w:rsid w:val="002E5398"/>
    <w:rsid w:val="002F175D"/>
    <w:rsid w:val="002F7F58"/>
    <w:rsid w:val="00302F5D"/>
    <w:rsid w:val="003132CB"/>
    <w:rsid w:val="0031577B"/>
    <w:rsid w:val="00317B07"/>
    <w:rsid w:val="003200DE"/>
    <w:rsid w:val="00325079"/>
    <w:rsid w:val="003250D0"/>
    <w:rsid w:val="003302C9"/>
    <w:rsid w:val="00333A4F"/>
    <w:rsid w:val="00335E3F"/>
    <w:rsid w:val="0033621F"/>
    <w:rsid w:val="00341427"/>
    <w:rsid w:val="0034184A"/>
    <w:rsid w:val="003446B1"/>
    <w:rsid w:val="00344F38"/>
    <w:rsid w:val="00346A52"/>
    <w:rsid w:val="00350A4C"/>
    <w:rsid w:val="0035171B"/>
    <w:rsid w:val="00357E52"/>
    <w:rsid w:val="003638A3"/>
    <w:rsid w:val="00366EC7"/>
    <w:rsid w:val="00366FFE"/>
    <w:rsid w:val="00367B19"/>
    <w:rsid w:val="00367DCC"/>
    <w:rsid w:val="00371CE0"/>
    <w:rsid w:val="00377B5F"/>
    <w:rsid w:val="00380ADD"/>
    <w:rsid w:val="003819ED"/>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5A22"/>
    <w:rsid w:val="003B6ECA"/>
    <w:rsid w:val="003C1BF2"/>
    <w:rsid w:val="003C3A3A"/>
    <w:rsid w:val="003C4382"/>
    <w:rsid w:val="003D0050"/>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477F"/>
    <w:rsid w:val="0043774B"/>
    <w:rsid w:val="00442CBB"/>
    <w:rsid w:val="0044737F"/>
    <w:rsid w:val="004513CA"/>
    <w:rsid w:val="0045183A"/>
    <w:rsid w:val="00451904"/>
    <w:rsid w:val="00451D0C"/>
    <w:rsid w:val="00452A69"/>
    <w:rsid w:val="0045476F"/>
    <w:rsid w:val="0045562C"/>
    <w:rsid w:val="00462A0D"/>
    <w:rsid w:val="00463CA1"/>
    <w:rsid w:val="00470F27"/>
    <w:rsid w:val="00471DC1"/>
    <w:rsid w:val="0047635A"/>
    <w:rsid w:val="004976DE"/>
    <w:rsid w:val="00497A29"/>
    <w:rsid w:val="004B180E"/>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16BE4"/>
    <w:rsid w:val="00524760"/>
    <w:rsid w:val="005340A1"/>
    <w:rsid w:val="0054326F"/>
    <w:rsid w:val="0054782B"/>
    <w:rsid w:val="005546DE"/>
    <w:rsid w:val="00560B7F"/>
    <w:rsid w:val="005627A6"/>
    <w:rsid w:val="00566D8A"/>
    <w:rsid w:val="00567A22"/>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1875"/>
    <w:rsid w:val="005E393F"/>
    <w:rsid w:val="005E73C3"/>
    <w:rsid w:val="005F455D"/>
    <w:rsid w:val="00601EDA"/>
    <w:rsid w:val="00604474"/>
    <w:rsid w:val="00604CD1"/>
    <w:rsid w:val="00605329"/>
    <w:rsid w:val="00605849"/>
    <w:rsid w:val="00610F9E"/>
    <w:rsid w:val="00614735"/>
    <w:rsid w:val="00622017"/>
    <w:rsid w:val="00623190"/>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283B"/>
    <w:rsid w:val="00673A31"/>
    <w:rsid w:val="00676EB6"/>
    <w:rsid w:val="00676FD7"/>
    <w:rsid w:val="00677727"/>
    <w:rsid w:val="00680A12"/>
    <w:rsid w:val="00682C24"/>
    <w:rsid w:val="006925D7"/>
    <w:rsid w:val="00694D1A"/>
    <w:rsid w:val="00696453"/>
    <w:rsid w:val="006A0745"/>
    <w:rsid w:val="006A4E09"/>
    <w:rsid w:val="006A697D"/>
    <w:rsid w:val="006B2FBF"/>
    <w:rsid w:val="006B398C"/>
    <w:rsid w:val="006B5801"/>
    <w:rsid w:val="006B7589"/>
    <w:rsid w:val="006C29EB"/>
    <w:rsid w:val="006C541C"/>
    <w:rsid w:val="006D1497"/>
    <w:rsid w:val="006E7EEE"/>
    <w:rsid w:val="00700419"/>
    <w:rsid w:val="00710F46"/>
    <w:rsid w:val="0071106E"/>
    <w:rsid w:val="00714475"/>
    <w:rsid w:val="0071497E"/>
    <w:rsid w:val="00716919"/>
    <w:rsid w:val="00727A51"/>
    <w:rsid w:val="007314B1"/>
    <w:rsid w:val="007337C0"/>
    <w:rsid w:val="007401C7"/>
    <w:rsid w:val="0074065C"/>
    <w:rsid w:val="00741912"/>
    <w:rsid w:val="00741CF7"/>
    <w:rsid w:val="00743D98"/>
    <w:rsid w:val="00745531"/>
    <w:rsid w:val="00746A83"/>
    <w:rsid w:val="00746DB6"/>
    <w:rsid w:val="00746E6F"/>
    <w:rsid w:val="007526E1"/>
    <w:rsid w:val="007537C9"/>
    <w:rsid w:val="007537DC"/>
    <w:rsid w:val="00753DC7"/>
    <w:rsid w:val="00755E8F"/>
    <w:rsid w:val="007607D0"/>
    <w:rsid w:val="00763886"/>
    <w:rsid w:val="00765647"/>
    <w:rsid w:val="00774D9A"/>
    <w:rsid w:val="007769F3"/>
    <w:rsid w:val="00776F34"/>
    <w:rsid w:val="00790198"/>
    <w:rsid w:val="00791722"/>
    <w:rsid w:val="007935C2"/>
    <w:rsid w:val="00797128"/>
    <w:rsid w:val="007A771F"/>
    <w:rsid w:val="007B1983"/>
    <w:rsid w:val="007B4FAF"/>
    <w:rsid w:val="007B78F3"/>
    <w:rsid w:val="007C345B"/>
    <w:rsid w:val="007D17D1"/>
    <w:rsid w:val="007D2A83"/>
    <w:rsid w:val="007D34DE"/>
    <w:rsid w:val="007D521A"/>
    <w:rsid w:val="007D57A4"/>
    <w:rsid w:val="007E0A95"/>
    <w:rsid w:val="007E0C0F"/>
    <w:rsid w:val="007E4023"/>
    <w:rsid w:val="007E479E"/>
    <w:rsid w:val="007E73C1"/>
    <w:rsid w:val="007E7A21"/>
    <w:rsid w:val="007F757E"/>
    <w:rsid w:val="00803869"/>
    <w:rsid w:val="00814A99"/>
    <w:rsid w:val="00814B94"/>
    <w:rsid w:val="008161E9"/>
    <w:rsid w:val="00820D4F"/>
    <w:rsid w:val="00824C2F"/>
    <w:rsid w:val="008263F1"/>
    <w:rsid w:val="0082701B"/>
    <w:rsid w:val="00827A4F"/>
    <w:rsid w:val="00831605"/>
    <w:rsid w:val="00831DD1"/>
    <w:rsid w:val="00831E55"/>
    <w:rsid w:val="00832583"/>
    <w:rsid w:val="00832DFB"/>
    <w:rsid w:val="0083471F"/>
    <w:rsid w:val="0083692C"/>
    <w:rsid w:val="0084330B"/>
    <w:rsid w:val="00843572"/>
    <w:rsid w:val="00844757"/>
    <w:rsid w:val="00850D34"/>
    <w:rsid w:val="008516DC"/>
    <w:rsid w:val="00854509"/>
    <w:rsid w:val="00857909"/>
    <w:rsid w:val="00860723"/>
    <w:rsid w:val="00863EDE"/>
    <w:rsid w:val="00864C0B"/>
    <w:rsid w:val="00865F04"/>
    <w:rsid w:val="008676BF"/>
    <w:rsid w:val="00874E4E"/>
    <w:rsid w:val="00875475"/>
    <w:rsid w:val="008847D6"/>
    <w:rsid w:val="0089509A"/>
    <w:rsid w:val="008B60F1"/>
    <w:rsid w:val="008C2F81"/>
    <w:rsid w:val="008C5F94"/>
    <w:rsid w:val="008D38EA"/>
    <w:rsid w:val="008D6564"/>
    <w:rsid w:val="008D691E"/>
    <w:rsid w:val="008E2AC9"/>
    <w:rsid w:val="008E7662"/>
    <w:rsid w:val="008F750F"/>
    <w:rsid w:val="00910C94"/>
    <w:rsid w:val="00913029"/>
    <w:rsid w:val="0091354C"/>
    <w:rsid w:val="00920A00"/>
    <w:rsid w:val="0092221C"/>
    <w:rsid w:val="00924176"/>
    <w:rsid w:val="00925629"/>
    <w:rsid w:val="00927C46"/>
    <w:rsid w:val="009314D2"/>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3B89"/>
    <w:rsid w:val="00984FC4"/>
    <w:rsid w:val="0098730A"/>
    <w:rsid w:val="00987ED9"/>
    <w:rsid w:val="009923B2"/>
    <w:rsid w:val="00994B5E"/>
    <w:rsid w:val="00994BCB"/>
    <w:rsid w:val="00996907"/>
    <w:rsid w:val="009A041F"/>
    <w:rsid w:val="009A1DD8"/>
    <w:rsid w:val="009A7C75"/>
    <w:rsid w:val="009B015B"/>
    <w:rsid w:val="009B2499"/>
    <w:rsid w:val="009B2B31"/>
    <w:rsid w:val="009B567B"/>
    <w:rsid w:val="009C05A6"/>
    <w:rsid w:val="009C2E75"/>
    <w:rsid w:val="009C558C"/>
    <w:rsid w:val="009C5BCF"/>
    <w:rsid w:val="009C6658"/>
    <w:rsid w:val="009D06D4"/>
    <w:rsid w:val="009D09C5"/>
    <w:rsid w:val="009D7710"/>
    <w:rsid w:val="009D79BE"/>
    <w:rsid w:val="009E127E"/>
    <w:rsid w:val="009E264F"/>
    <w:rsid w:val="009E2A2C"/>
    <w:rsid w:val="009F1125"/>
    <w:rsid w:val="009F3085"/>
    <w:rsid w:val="009F7447"/>
    <w:rsid w:val="00A04236"/>
    <w:rsid w:val="00A10E35"/>
    <w:rsid w:val="00A13557"/>
    <w:rsid w:val="00A1534E"/>
    <w:rsid w:val="00A15E7D"/>
    <w:rsid w:val="00A17DAB"/>
    <w:rsid w:val="00A2026C"/>
    <w:rsid w:val="00A20441"/>
    <w:rsid w:val="00A24590"/>
    <w:rsid w:val="00A30BF5"/>
    <w:rsid w:val="00A37E82"/>
    <w:rsid w:val="00A4005D"/>
    <w:rsid w:val="00A4403A"/>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75541"/>
    <w:rsid w:val="00A811E7"/>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2D35"/>
    <w:rsid w:val="00AC30CC"/>
    <w:rsid w:val="00AC7AA5"/>
    <w:rsid w:val="00AD1F9D"/>
    <w:rsid w:val="00AD2E5C"/>
    <w:rsid w:val="00AD62C0"/>
    <w:rsid w:val="00AD6AB5"/>
    <w:rsid w:val="00AE2526"/>
    <w:rsid w:val="00AE795D"/>
    <w:rsid w:val="00AF1025"/>
    <w:rsid w:val="00AF1CF9"/>
    <w:rsid w:val="00AF3012"/>
    <w:rsid w:val="00B00F28"/>
    <w:rsid w:val="00B12622"/>
    <w:rsid w:val="00B30D6F"/>
    <w:rsid w:val="00B31E94"/>
    <w:rsid w:val="00B32184"/>
    <w:rsid w:val="00B404C7"/>
    <w:rsid w:val="00B43695"/>
    <w:rsid w:val="00B56F29"/>
    <w:rsid w:val="00B6286C"/>
    <w:rsid w:val="00B6582E"/>
    <w:rsid w:val="00B72B33"/>
    <w:rsid w:val="00B7647E"/>
    <w:rsid w:val="00B85B4E"/>
    <w:rsid w:val="00B908CD"/>
    <w:rsid w:val="00B919D1"/>
    <w:rsid w:val="00BA1C38"/>
    <w:rsid w:val="00BA259F"/>
    <w:rsid w:val="00BA7FC9"/>
    <w:rsid w:val="00BB0B8B"/>
    <w:rsid w:val="00BB53D6"/>
    <w:rsid w:val="00BB58A4"/>
    <w:rsid w:val="00BB6478"/>
    <w:rsid w:val="00BB76F5"/>
    <w:rsid w:val="00BC1810"/>
    <w:rsid w:val="00BC5A8B"/>
    <w:rsid w:val="00BD275A"/>
    <w:rsid w:val="00BD3821"/>
    <w:rsid w:val="00BD6355"/>
    <w:rsid w:val="00BD7DAB"/>
    <w:rsid w:val="00BE0EC0"/>
    <w:rsid w:val="00BE485F"/>
    <w:rsid w:val="00BE490B"/>
    <w:rsid w:val="00BE4DEF"/>
    <w:rsid w:val="00BE554D"/>
    <w:rsid w:val="00BF317D"/>
    <w:rsid w:val="00C00629"/>
    <w:rsid w:val="00C00D46"/>
    <w:rsid w:val="00C04C91"/>
    <w:rsid w:val="00C120D8"/>
    <w:rsid w:val="00C12A51"/>
    <w:rsid w:val="00C17420"/>
    <w:rsid w:val="00C2153C"/>
    <w:rsid w:val="00C23687"/>
    <w:rsid w:val="00C2369C"/>
    <w:rsid w:val="00C24290"/>
    <w:rsid w:val="00C24B98"/>
    <w:rsid w:val="00C270BB"/>
    <w:rsid w:val="00C35EEB"/>
    <w:rsid w:val="00C3620D"/>
    <w:rsid w:val="00C36962"/>
    <w:rsid w:val="00C40F3A"/>
    <w:rsid w:val="00C43CCE"/>
    <w:rsid w:val="00C473CB"/>
    <w:rsid w:val="00C52800"/>
    <w:rsid w:val="00C54649"/>
    <w:rsid w:val="00C62B24"/>
    <w:rsid w:val="00C70DD7"/>
    <w:rsid w:val="00C81F67"/>
    <w:rsid w:val="00C91925"/>
    <w:rsid w:val="00C96A1F"/>
    <w:rsid w:val="00CB21CF"/>
    <w:rsid w:val="00CB72B6"/>
    <w:rsid w:val="00CC4151"/>
    <w:rsid w:val="00CC7DA9"/>
    <w:rsid w:val="00CD2AB7"/>
    <w:rsid w:val="00CE1BF6"/>
    <w:rsid w:val="00CE2517"/>
    <w:rsid w:val="00CE6C1A"/>
    <w:rsid w:val="00CF0EEF"/>
    <w:rsid w:val="00CF2A76"/>
    <w:rsid w:val="00CF2A77"/>
    <w:rsid w:val="00CF2EBD"/>
    <w:rsid w:val="00CF4FA7"/>
    <w:rsid w:val="00D00DEF"/>
    <w:rsid w:val="00D12629"/>
    <w:rsid w:val="00D13D6A"/>
    <w:rsid w:val="00D16C8B"/>
    <w:rsid w:val="00D26893"/>
    <w:rsid w:val="00D458ED"/>
    <w:rsid w:val="00D502D1"/>
    <w:rsid w:val="00D50332"/>
    <w:rsid w:val="00D50A09"/>
    <w:rsid w:val="00D53EA7"/>
    <w:rsid w:val="00D559DB"/>
    <w:rsid w:val="00D65481"/>
    <w:rsid w:val="00D65EC9"/>
    <w:rsid w:val="00D73EBD"/>
    <w:rsid w:val="00D74D85"/>
    <w:rsid w:val="00D761BD"/>
    <w:rsid w:val="00D76AC7"/>
    <w:rsid w:val="00D84D4C"/>
    <w:rsid w:val="00D90C7F"/>
    <w:rsid w:val="00D91926"/>
    <w:rsid w:val="00D9228C"/>
    <w:rsid w:val="00D9391A"/>
    <w:rsid w:val="00D94F96"/>
    <w:rsid w:val="00DA15D9"/>
    <w:rsid w:val="00DA441C"/>
    <w:rsid w:val="00DA6644"/>
    <w:rsid w:val="00DC3B20"/>
    <w:rsid w:val="00DC6C78"/>
    <w:rsid w:val="00DD2396"/>
    <w:rsid w:val="00DD34A7"/>
    <w:rsid w:val="00DD3BC5"/>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344A4"/>
    <w:rsid w:val="00E34981"/>
    <w:rsid w:val="00E34C79"/>
    <w:rsid w:val="00E3634B"/>
    <w:rsid w:val="00E40A83"/>
    <w:rsid w:val="00E41CF3"/>
    <w:rsid w:val="00E5276F"/>
    <w:rsid w:val="00E53C87"/>
    <w:rsid w:val="00E55236"/>
    <w:rsid w:val="00E5680A"/>
    <w:rsid w:val="00E56AB3"/>
    <w:rsid w:val="00E60E78"/>
    <w:rsid w:val="00E61371"/>
    <w:rsid w:val="00E617EB"/>
    <w:rsid w:val="00E61CD2"/>
    <w:rsid w:val="00E61DAB"/>
    <w:rsid w:val="00E625BA"/>
    <w:rsid w:val="00E62B98"/>
    <w:rsid w:val="00E760FD"/>
    <w:rsid w:val="00E9028C"/>
    <w:rsid w:val="00E9161C"/>
    <w:rsid w:val="00E92422"/>
    <w:rsid w:val="00E946E8"/>
    <w:rsid w:val="00E96EEE"/>
    <w:rsid w:val="00EA1C5F"/>
    <w:rsid w:val="00EA6442"/>
    <w:rsid w:val="00EB21D1"/>
    <w:rsid w:val="00EC24D1"/>
    <w:rsid w:val="00EC24D7"/>
    <w:rsid w:val="00EC61D1"/>
    <w:rsid w:val="00EC6BF6"/>
    <w:rsid w:val="00ED0779"/>
    <w:rsid w:val="00ED0AEF"/>
    <w:rsid w:val="00ED28E3"/>
    <w:rsid w:val="00ED5388"/>
    <w:rsid w:val="00ED60ED"/>
    <w:rsid w:val="00ED7221"/>
    <w:rsid w:val="00EE04C7"/>
    <w:rsid w:val="00EE1DE9"/>
    <w:rsid w:val="00EE288D"/>
    <w:rsid w:val="00EE2F3B"/>
    <w:rsid w:val="00EE4A89"/>
    <w:rsid w:val="00EE7813"/>
    <w:rsid w:val="00EE7A5B"/>
    <w:rsid w:val="00EF4897"/>
    <w:rsid w:val="00F00891"/>
    <w:rsid w:val="00F02C24"/>
    <w:rsid w:val="00F0516E"/>
    <w:rsid w:val="00F10329"/>
    <w:rsid w:val="00F11CEF"/>
    <w:rsid w:val="00F137C1"/>
    <w:rsid w:val="00F13A9C"/>
    <w:rsid w:val="00F1599B"/>
    <w:rsid w:val="00F2069E"/>
    <w:rsid w:val="00F24791"/>
    <w:rsid w:val="00F2636B"/>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403A"/>
    <w:rsid w:val="00FD6E14"/>
    <w:rsid w:val="00FD6FC3"/>
    <w:rsid w:val="00FE0730"/>
    <w:rsid w:val="00FE3F22"/>
    <w:rsid w:val="00FF2DDA"/>
    <w:rsid w:val="00FF6189"/>
    <w:rsid w:val="00FF67D3"/>
    <w:rsid w:val="00FF6BF0"/>
    <w:rsid w:val="016A1DFA"/>
    <w:rsid w:val="017835F2"/>
    <w:rsid w:val="019161AE"/>
    <w:rsid w:val="0444150C"/>
    <w:rsid w:val="04564757"/>
    <w:rsid w:val="0583141F"/>
    <w:rsid w:val="061063D8"/>
    <w:rsid w:val="06A150BF"/>
    <w:rsid w:val="07550E0F"/>
    <w:rsid w:val="082774D9"/>
    <w:rsid w:val="08D945B9"/>
    <w:rsid w:val="0A1C786D"/>
    <w:rsid w:val="0A3E2554"/>
    <w:rsid w:val="0B8E591C"/>
    <w:rsid w:val="0E980A25"/>
    <w:rsid w:val="106049FB"/>
    <w:rsid w:val="10846454"/>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D15C23"/>
    <w:rsid w:val="20FC20E8"/>
    <w:rsid w:val="21056915"/>
    <w:rsid w:val="212D7D63"/>
    <w:rsid w:val="21433A01"/>
    <w:rsid w:val="21FB6E23"/>
    <w:rsid w:val="2340011A"/>
    <w:rsid w:val="25594E7A"/>
    <w:rsid w:val="25706615"/>
    <w:rsid w:val="25D17126"/>
    <w:rsid w:val="26C4544F"/>
    <w:rsid w:val="27EA2098"/>
    <w:rsid w:val="284D6219"/>
    <w:rsid w:val="28824912"/>
    <w:rsid w:val="29530837"/>
    <w:rsid w:val="2A357FD3"/>
    <w:rsid w:val="2A4A2FE8"/>
    <w:rsid w:val="2C716A47"/>
    <w:rsid w:val="2CB546A2"/>
    <w:rsid w:val="2CF22BF9"/>
    <w:rsid w:val="2D086045"/>
    <w:rsid w:val="2F31780D"/>
    <w:rsid w:val="2F714868"/>
    <w:rsid w:val="313D46B3"/>
    <w:rsid w:val="333F6E74"/>
    <w:rsid w:val="347A2331"/>
    <w:rsid w:val="35FD0067"/>
    <w:rsid w:val="377B031A"/>
    <w:rsid w:val="37BD677C"/>
    <w:rsid w:val="38C539AE"/>
    <w:rsid w:val="38FB1E62"/>
    <w:rsid w:val="396805E6"/>
    <w:rsid w:val="396E2F4D"/>
    <w:rsid w:val="39F85A90"/>
    <w:rsid w:val="3B1A4464"/>
    <w:rsid w:val="3C781DB1"/>
    <w:rsid w:val="3CC11B7A"/>
    <w:rsid w:val="3D1B58AC"/>
    <w:rsid w:val="3D3A2AF2"/>
    <w:rsid w:val="3D6444D4"/>
    <w:rsid w:val="3F7336F1"/>
    <w:rsid w:val="40690BC5"/>
    <w:rsid w:val="40B0791B"/>
    <w:rsid w:val="40FA606C"/>
    <w:rsid w:val="411028BD"/>
    <w:rsid w:val="430E7BEF"/>
    <w:rsid w:val="43800ACF"/>
    <w:rsid w:val="43B1189F"/>
    <w:rsid w:val="479C6E13"/>
    <w:rsid w:val="4B152213"/>
    <w:rsid w:val="4B58057D"/>
    <w:rsid w:val="4C841024"/>
    <w:rsid w:val="4E671128"/>
    <w:rsid w:val="4E9800EE"/>
    <w:rsid w:val="4EAE05F5"/>
    <w:rsid w:val="4F45059B"/>
    <w:rsid w:val="4F723D22"/>
    <w:rsid w:val="4FFA04DA"/>
    <w:rsid w:val="50497D4C"/>
    <w:rsid w:val="527F4BF6"/>
    <w:rsid w:val="535308DB"/>
    <w:rsid w:val="547616A6"/>
    <w:rsid w:val="54774E4D"/>
    <w:rsid w:val="558D2A0B"/>
    <w:rsid w:val="56992E18"/>
    <w:rsid w:val="57F76B3A"/>
    <w:rsid w:val="58953351"/>
    <w:rsid w:val="59804F7E"/>
    <w:rsid w:val="5A6C1E23"/>
    <w:rsid w:val="5C5027C8"/>
    <w:rsid w:val="5DB61344"/>
    <w:rsid w:val="5EB26108"/>
    <w:rsid w:val="5F3D183B"/>
    <w:rsid w:val="5F831F82"/>
    <w:rsid w:val="5FCA7E17"/>
    <w:rsid w:val="602506D2"/>
    <w:rsid w:val="60CC0FF7"/>
    <w:rsid w:val="62712D02"/>
    <w:rsid w:val="63844ED9"/>
    <w:rsid w:val="64A63B6B"/>
    <w:rsid w:val="661369BA"/>
    <w:rsid w:val="66477E7F"/>
    <w:rsid w:val="677276A8"/>
    <w:rsid w:val="677E292F"/>
    <w:rsid w:val="6C0F6ED2"/>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5D4352"/>
    <w:rsid w:val="7F600CE2"/>
    <w:rsid w:val="7F99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4"/>
    <w:semiHidden/>
    <w:qFormat/>
    <w:uiPriority w:val="99"/>
    <w:rPr>
      <w:b/>
    </w:rPr>
  </w:style>
  <w:style w:type="paragraph" w:styleId="3">
    <w:name w:val="annotation text"/>
    <w:basedOn w:val="1"/>
    <w:link w:val="23"/>
    <w:semiHidden/>
    <w:qFormat/>
    <w:uiPriority w:val="99"/>
    <w:pPr>
      <w:jc w:val="left"/>
    </w:pPr>
    <w:rPr>
      <w:kern w:val="0"/>
      <w:sz w:val="24"/>
      <w:szCs w:val="20"/>
    </w:rPr>
  </w:style>
  <w:style w:type="paragraph" w:styleId="4">
    <w:name w:val="Body Text"/>
    <w:basedOn w:val="1"/>
    <w:link w:val="25"/>
    <w:qFormat/>
    <w:uiPriority w:val="99"/>
    <w:pPr>
      <w:spacing w:after="120"/>
    </w:pPr>
  </w:style>
  <w:style w:type="paragraph" w:styleId="5">
    <w:name w:val="Balloon Text"/>
    <w:basedOn w:val="1"/>
    <w:link w:val="20"/>
    <w:semiHidden/>
    <w:qFormat/>
    <w:uiPriority w:val="99"/>
    <w:rPr>
      <w:kern w:val="0"/>
      <w:sz w:val="2"/>
      <w:szCs w:val="20"/>
    </w:rPr>
  </w:style>
  <w:style w:type="paragraph" w:styleId="6">
    <w:name w:val="footer"/>
    <w:basedOn w:val="1"/>
    <w:link w:val="22"/>
    <w:qFormat/>
    <w:uiPriority w:val="99"/>
    <w:pPr>
      <w:tabs>
        <w:tab w:val="center" w:pos="4153"/>
        <w:tab w:val="right" w:pos="8306"/>
      </w:tabs>
      <w:snapToGrid w:val="0"/>
      <w:jc w:val="left"/>
    </w:pPr>
    <w:rPr>
      <w:kern w:val="0"/>
      <w:sz w:val="18"/>
      <w:szCs w:val="20"/>
    </w:rPr>
  </w:style>
  <w:style w:type="paragraph" w:styleId="7">
    <w:name w:val="header"/>
    <w:basedOn w:val="1"/>
    <w:link w:val="2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unhideWhenUsed/>
    <w:qFormat/>
    <w:uiPriority w:val="99"/>
    <w:rPr>
      <w:sz w:val="24"/>
    </w:rPr>
  </w:style>
  <w:style w:type="character" w:styleId="10">
    <w:name w:val="Strong"/>
    <w:basedOn w:val="9"/>
    <w:qFormat/>
    <w:locked/>
    <w:uiPriority w:val="22"/>
    <w:rPr>
      <w:b/>
      <w:bCs/>
    </w:rPr>
  </w:style>
  <w:style w:type="character" w:styleId="11">
    <w:name w:val="page number"/>
    <w:qFormat/>
    <w:uiPriority w:val="99"/>
    <w:rPr>
      <w:rFonts w:cs="Times New Roman"/>
    </w:rPr>
  </w:style>
  <w:style w:type="character" w:styleId="12">
    <w:name w:val="Hyperlink"/>
    <w:qFormat/>
    <w:uiPriority w:val="99"/>
    <w:rPr>
      <w:rFonts w:cs="Times New Roman"/>
      <w:color w:val="0000FF"/>
      <w:u w:val="single"/>
    </w:rPr>
  </w:style>
  <w:style w:type="character" w:styleId="13">
    <w:name w:val="annotation reference"/>
    <w:semiHidden/>
    <w:qFormat/>
    <w:uiPriority w:val="99"/>
    <w:rPr>
      <w:rFonts w:cs="Times New Roman"/>
      <w:sz w:val="21"/>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Char1"/>
    <w:basedOn w:val="1"/>
    <w:qFormat/>
    <w:uiPriority w:val="99"/>
    <w:pPr>
      <w:keepNext/>
      <w:keepLines/>
    </w:pPr>
    <w:rPr>
      <w:szCs w:val="20"/>
    </w:rPr>
  </w:style>
  <w:style w:type="paragraph" w:customStyle="1" w:styleId="17">
    <w:name w:val="p0"/>
    <w:basedOn w:val="1"/>
    <w:qFormat/>
    <w:uiPriority w:val="99"/>
    <w:pPr>
      <w:widowControl/>
      <w:spacing w:before="100" w:beforeAutospacing="1" w:after="100" w:afterAutospacing="1"/>
      <w:jc w:val="left"/>
    </w:pPr>
    <w:rPr>
      <w:rFonts w:ascii="宋体" w:hAnsi="宋体" w:cs="宋体"/>
      <w:kern w:val="0"/>
      <w:sz w:val="24"/>
    </w:rPr>
  </w:style>
  <w:style w:type="paragraph" w:styleId="18">
    <w:name w:val="List Paragraph"/>
    <w:basedOn w:val="1"/>
    <w:qFormat/>
    <w:uiPriority w:val="99"/>
    <w:pPr>
      <w:ind w:firstLine="420" w:firstLineChars="200"/>
    </w:pPr>
    <w:rPr>
      <w:rFonts w:ascii="Calibri" w:hAnsi="Calibri"/>
      <w:szCs w:val="22"/>
    </w:rPr>
  </w:style>
  <w:style w:type="paragraph" w:customStyle="1" w:styleId="19">
    <w:name w:val="普通(网站) Cha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批注框文本 Char"/>
    <w:link w:val="5"/>
    <w:semiHidden/>
    <w:qFormat/>
    <w:locked/>
    <w:uiPriority w:val="99"/>
    <w:rPr>
      <w:rFonts w:ascii="Times New Roman" w:hAnsi="Times New Roman" w:eastAsia="宋体"/>
      <w:kern w:val="0"/>
      <w:sz w:val="2"/>
    </w:rPr>
  </w:style>
  <w:style w:type="character" w:customStyle="1" w:styleId="21">
    <w:name w:val="页眉 Char"/>
    <w:link w:val="7"/>
    <w:qFormat/>
    <w:locked/>
    <w:uiPriority w:val="99"/>
    <w:rPr>
      <w:rFonts w:ascii="Times New Roman" w:hAnsi="Times New Roman" w:eastAsia="宋体"/>
      <w:kern w:val="0"/>
      <w:sz w:val="18"/>
    </w:rPr>
  </w:style>
  <w:style w:type="character" w:customStyle="1" w:styleId="22">
    <w:name w:val="页脚 Char"/>
    <w:link w:val="6"/>
    <w:qFormat/>
    <w:locked/>
    <w:uiPriority w:val="99"/>
    <w:rPr>
      <w:rFonts w:ascii="Times New Roman" w:hAnsi="Times New Roman" w:eastAsia="宋体"/>
      <w:kern w:val="0"/>
      <w:sz w:val="18"/>
    </w:rPr>
  </w:style>
  <w:style w:type="character" w:customStyle="1" w:styleId="23">
    <w:name w:val="批注文字 Char"/>
    <w:link w:val="3"/>
    <w:semiHidden/>
    <w:qFormat/>
    <w:locked/>
    <w:uiPriority w:val="99"/>
    <w:rPr>
      <w:rFonts w:ascii="Times New Roman" w:hAnsi="Times New Roman"/>
      <w:sz w:val="24"/>
    </w:rPr>
  </w:style>
  <w:style w:type="character" w:customStyle="1" w:styleId="24">
    <w:name w:val="批注主题 Char"/>
    <w:link w:val="2"/>
    <w:semiHidden/>
    <w:qFormat/>
    <w:locked/>
    <w:uiPriority w:val="99"/>
    <w:rPr>
      <w:rFonts w:ascii="Times New Roman" w:hAnsi="Times New Roman"/>
      <w:b/>
      <w:sz w:val="24"/>
    </w:rPr>
  </w:style>
  <w:style w:type="character" w:customStyle="1" w:styleId="25">
    <w:name w:val="正文文本 Char"/>
    <w:basedOn w:val="9"/>
    <w:link w:val="4"/>
    <w:qFormat/>
    <w:uiPriority w:val="99"/>
    <w:rPr>
      <w:rFonts w:ascii="Times New Roman" w:hAnsi="Times New Roman"/>
      <w:kern w:val="2"/>
      <w:sz w:val="21"/>
      <w:szCs w:val="24"/>
    </w:rPr>
  </w:style>
  <w:style w:type="paragraph" w:customStyle="1" w:styleId="26">
    <w:name w:val="Default"/>
    <w:unhideWhenUsed/>
    <w:qFormat/>
    <w:uiPriority w:val="99"/>
    <w:pPr>
      <w:widowControl w:val="0"/>
      <w:autoSpaceDE w:val="0"/>
      <w:autoSpaceDN w:val="0"/>
      <w:adjustRightInd w:val="0"/>
      <w:spacing w:beforeLines="0" w:afterLines="0"/>
    </w:pPr>
    <w:rPr>
      <w:rFonts w:hint="eastAsia" w:ascii="宋体..骝." w:hAnsi="宋体..骝." w:eastAsia="宋体..骝."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422</Words>
  <Characters>2408</Characters>
  <Lines>20</Lines>
  <Paragraphs>5</Paragraphs>
  <TotalTime>1</TotalTime>
  <ScaleCrop>false</ScaleCrop>
  <LinksUpToDate>false</LinksUpToDate>
  <CharactersWithSpaces>2825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2020-03-17T09:36:00Z</dcterms:created>
  <dc:creator>Windows 用户</dc:creator>
  <cp:lastModifiedBy>user</cp:lastModifiedBy>
  <cp:lastPrinted>2020-04-10T01:42:00Z</cp:lastPrinted>
  <dcterms:modified xsi:type="dcterms:W3CDTF">2021-06-09T02:15:41Z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