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附件4</w:t>
      </w:r>
    </w:p>
    <w:p>
      <w:pPr>
        <w:snapToGrid w:val="0"/>
        <w:spacing w:line="800" w:lineRule="exact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第二届苏州市青年专利撰写职业技能大赛规程</w:t>
      </w:r>
    </w:p>
    <w:bookmarkEnd w:id="0"/>
    <w:p>
      <w:pPr>
        <w:spacing w:line="580" w:lineRule="exact"/>
        <w:jc w:val="center"/>
        <w:rPr>
          <w:rFonts w:hint="eastAsia" w:ascii="方正小标宋_GBK" w:hAnsi="宋体" w:eastAsia="方正小标宋_GBK"/>
          <w:bCs/>
          <w:color w:val="000000"/>
          <w:sz w:val="36"/>
          <w:szCs w:val="36"/>
        </w:rPr>
      </w:pPr>
    </w:p>
    <w:p>
      <w:pPr>
        <w:pStyle w:val="2"/>
        <w:spacing w:after="0" w:line="580" w:lineRule="exact"/>
        <w:ind w:firstLine="640" w:firstLineChars="200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一、竞赛流程</w:t>
      </w:r>
    </w:p>
    <w:p>
      <w:pPr>
        <w:spacing w:line="580" w:lineRule="exact"/>
        <w:ind w:firstLine="640" w:firstLineChars="200"/>
        <w:rPr>
          <w:rFonts w:hint="eastAsia" w:ascii="仿宋_GB2312"/>
          <w:color w:val="000000"/>
        </w:rPr>
      </w:pPr>
      <w:r>
        <w:rPr>
          <w:rFonts w:ascii="仿宋_GB2312"/>
          <w:color w:val="000000"/>
        </w:rPr>
        <w:t>1.报名：</w:t>
      </w:r>
      <w:r>
        <w:rPr>
          <w:rFonts w:hint="eastAsia" w:ascii="仿宋_GB2312"/>
          <w:color w:val="000000"/>
        </w:rPr>
        <w:t>参赛者登录大赛专用报名系</w:t>
      </w:r>
      <w:r>
        <w:rPr>
          <w:rFonts w:ascii="仿宋_GB2312"/>
          <w:color w:val="000000"/>
        </w:rPr>
        <w:t>统</w:t>
      </w:r>
      <w:r>
        <w:rPr>
          <w:rFonts w:hint="eastAsia" w:ascii="仿宋_GB2312"/>
          <w:color w:val="000000"/>
        </w:rPr>
        <w:t>--轻速云</w:t>
      </w:r>
      <w:r>
        <w:rPr>
          <w:rFonts w:ascii="仿宋_GB2312"/>
          <w:color w:val="000000"/>
        </w:rPr>
        <w:t>进行线上报名</w:t>
      </w:r>
      <w:r>
        <w:rPr>
          <w:rFonts w:hint="eastAsia" w:ascii="仿宋_GB2312"/>
          <w:color w:val="000000"/>
        </w:rPr>
        <w:t>，报名网址：</w:t>
      </w:r>
    </w:p>
    <w:p>
      <w:pPr>
        <w:spacing w:line="580" w:lineRule="exact"/>
        <w:ind w:firstLine="640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fldChar w:fldCharType="begin"/>
      </w:r>
      <w:r>
        <w:rPr>
          <w:rFonts w:hint="eastAsia" w:ascii="仿宋_GB2312"/>
          <w:color w:val="000000"/>
        </w:rPr>
        <w:instrText xml:space="preserve"> HYPERLINK "https://www.qingsuyun.com/h5/e/182037/1/" </w:instrText>
      </w:r>
      <w:r>
        <w:rPr>
          <w:rFonts w:hint="eastAsia" w:ascii="仿宋_GB2312"/>
          <w:color w:val="000000"/>
        </w:rPr>
        <w:fldChar w:fldCharType="separate"/>
      </w:r>
      <w:r>
        <w:rPr>
          <w:rFonts w:hint="eastAsia" w:ascii="仿宋_GB2312"/>
          <w:color w:val="000000"/>
        </w:rPr>
        <w:t>https://www.qingsuyun.com/h5/e/182037/1/</w:t>
      </w:r>
      <w:r>
        <w:rPr>
          <w:rFonts w:hint="eastAsia" w:ascii="仿宋_GB2312"/>
          <w:color w:val="000000"/>
        </w:rPr>
        <w:fldChar w:fldCharType="end"/>
      </w:r>
    </w:p>
    <w:p>
      <w:pPr>
        <w:spacing w:line="580" w:lineRule="exact"/>
        <w:ind w:firstLine="640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本次大赛初赛设置机</w:t>
      </w:r>
      <w:r>
        <w:rPr>
          <w:rFonts w:hint="eastAsia" w:ascii="仿宋_GB2312"/>
        </w:rPr>
        <w:t>械、电学、化学三大类技术领域，参赛选手可以根据自身实际情况，选择一个技术领域参赛，</w:t>
      </w:r>
      <w:r>
        <w:rPr>
          <w:rFonts w:ascii="仿宋_GB2312"/>
        </w:rPr>
        <w:t>填</w:t>
      </w:r>
      <w:r>
        <w:rPr>
          <w:rFonts w:ascii="仿宋_GB2312"/>
          <w:color w:val="000000"/>
        </w:rPr>
        <w:t>报《</w:t>
      </w:r>
      <w:r>
        <w:rPr>
          <w:rFonts w:hint="eastAsia" w:ascii="仿宋_GB2312"/>
          <w:color w:val="000000"/>
        </w:rPr>
        <w:t>第二届苏州市青年专利撰写职业技能大赛</w:t>
      </w:r>
      <w:r>
        <w:rPr>
          <w:rFonts w:ascii="仿宋_GB2312"/>
          <w:color w:val="000000"/>
        </w:rPr>
        <w:t>报名表》</w:t>
      </w:r>
      <w:r>
        <w:rPr>
          <w:rFonts w:hint="eastAsia" w:ascii="仿宋_GB2312"/>
          <w:color w:val="000000"/>
        </w:rPr>
        <w:t>进行报名并提交材料，报名完成后不能调整参赛技术领域。</w:t>
      </w:r>
    </w:p>
    <w:p>
      <w:pPr>
        <w:spacing w:line="580" w:lineRule="exact"/>
        <w:ind w:firstLine="640" w:firstLineChars="200"/>
        <w:rPr>
          <w:rFonts w:ascii="仿宋_GB2312"/>
          <w:color w:val="000000"/>
        </w:rPr>
      </w:pPr>
      <w:r>
        <w:rPr>
          <w:rFonts w:ascii="仿宋_GB2312"/>
          <w:color w:val="000000"/>
        </w:rPr>
        <w:t>2.材料初审：赛务组对报名材料进行审查，</w:t>
      </w:r>
      <w:r>
        <w:rPr>
          <w:rFonts w:hint="eastAsia" w:ascii="仿宋_GB2312"/>
          <w:color w:val="000000"/>
        </w:rPr>
        <w:t>审查结束后在活动组织方官方网站和微信公众号公布初赛选手名单，公布内容包括人员姓名、所在工作单位、身份证脱敏号码，</w:t>
      </w:r>
      <w:r>
        <w:rPr>
          <w:rFonts w:ascii="仿宋_GB2312"/>
          <w:color w:val="000000"/>
        </w:rPr>
        <w:t>并</w:t>
      </w:r>
      <w:r>
        <w:rPr>
          <w:rFonts w:hint="eastAsia" w:ascii="仿宋_GB2312"/>
          <w:color w:val="000000"/>
        </w:rPr>
        <w:t>通过邮箱和短信</w:t>
      </w:r>
      <w:r>
        <w:rPr>
          <w:rFonts w:ascii="仿宋_GB2312"/>
          <w:color w:val="000000"/>
        </w:rPr>
        <w:t>通知符合条件的人员参加初赛。</w:t>
      </w:r>
    </w:p>
    <w:p>
      <w:pPr>
        <w:spacing w:line="580" w:lineRule="exact"/>
        <w:ind w:firstLine="640" w:firstLineChars="200"/>
        <w:rPr>
          <w:rFonts w:hint="eastAsia" w:ascii="仿宋_GB2312"/>
          <w:color w:val="000000"/>
        </w:rPr>
      </w:pPr>
      <w:r>
        <w:rPr>
          <w:rFonts w:ascii="仿宋_GB2312"/>
          <w:color w:val="000000"/>
        </w:rPr>
        <w:t>3.初赛</w:t>
      </w:r>
      <w:r>
        <w:rPr>
          <w:rFonts w:hint="eastAsia" w:ascii="仿宋_GB2312"/>
          <w:color w:val="000000"/>
        </w:rPr>
        <w:t>：线上进行，选手在指定时间内登录竞赛系统完成专利撰写，撰写时间为4小时，根据成绩，选拔前30名（含第30名）选手进入决赛。</w:t>
      </w:r>
    </w:p>
    <w:p>
      <w:pPr>
        <w:spacing w:line="580" w:lineRule="exact"/>
        <w:ind w:firstLine="640" w:firstLineChars="200"/>
        <w:rPr>
          <w:rFonts w:ascii="仿宋_GB2312"/>
          <w:color w:val="000000"/>
        </w:rPr>
      </w:pPr>
      <w:r>
        <w:rPr>
          <w:rFonts w:ascii="仿宋_GB2312"/>
          <w:color w:val="000000"/>
        </w:rPr>
        <w:t>4.决赛：</w:t>
      </w:r>
      <w:r>
        <w:rPr>
          <w:rFonts w:hint="eastAsia" w:ascii="仿宋_GB2312"/>
          <w:color w:val="000000"/>
        </w:rPr>
        <w:t>线下进行，采用客观题答题和现场答辩结合的形式进行。客观题答题时间为</w:t>
      </w:r>
      <w:r>
        <w:rPr>
          <w:rFonts w:ascii="仿宋_GB2312"/>
          <w:color w:val="000000"/>
        </w:rPr>
        <w:t>40</w:t>
      </w:r>
      <w:r>
        <w:rPr>
          <w:rFonts w:hint="eastAsia" w:ascii="仿宋_GB2312"/>
          <w:color w:val="000000"/>
        </w:rPr>
        <w:t>分钟，参赛选手用电脑作答。现场答辩环节每位选手有</w:t>
      </w:r>
      <w:r>
        <w:rPr>
          <w:rFonts w:ascii="仿宋_GB2312"/>
          <w:color w:val="000000"/>
        </w:rPr>
        <w:t>10</w:t>
      </w:r>
      <w:r>
        <w:rPr>
          <w:rFonts w:hint="eastAsia" w:ascii="仿宋_GB2312"/>
          <w:color w:val="000000"/>
        </w:rPr>
        <w:t>分钟准备时间，之后为5分钟回答时间。选手最终成绩由客观题答题成绩（30%）和现场答辩成绩（70%）加权组成。</w:t>
      </w:r>
    </w:p>
    <w:p>
      <w:pPr>
        <w:pStyle w:val="2"/>
        <w:spacing w:line="580" w:lineRule="exact"/>
        <w:ind w:firstLine="640" w:firstLineChars="200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二、竞赛内容 </w:t>
      </w:r>
    </w:p>
    <w:p>
      <w:pPr>
        <w:spacing w:line="580" w:lineRule="exact"/>
        <w:ind w:firstLine="640" w:firstLineChars="200"/>
        <w:rPr>
          <w:rFonts w:ascii="仿宋_GB2312"/>
          <w:color w:val="000000"/>
        </w:rPr>
      </w:pPr>
      <w:r>
        <w:rPr>
          <w:rFonts w:ascii="仿宋_GB2312"/>
          <w:color w:val="000000"/>
        </w:rPr>
        <w:t>1.初赛：</w:t>
      </w:r>
      <w:r>
        <w:rPr>
          <w:rFonts w:hint="eastAsia" w:ascii="仿宋_GB2312"/>
          <w:color w:val="000000"/>
        </w:rPr>
        <w:t>选手</w:t>
      </w:r>
      <w:r>
        <w:rPr>
          <w:rFonts w:ascii="仿宋_GB2312"/>
          <w:color w:val="000000"/>
        </w:rPr>
        <w:t>根据提供的交底书和现有技术，在规定时间内撰写权利要求书和说明书；对撰写的独立权利要求书新颖性进行简要评述。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ascii="仿宋_GB2312"/>
        </w:rPr>
        <w:t>2.决赛：</w:t>
      </w:r>
      <w:r>
        <w:rPr>
          <w:rFonts w:hint="eastAsia" w:ascii="仿宋_GB2312"/>
        </w:rPr>
        <w:t>客观题考察范围包括《专利法》《专利法实施细则》《专利代理条例》《关于规范专利申请行为的若干规定》《专利代理管理办法》《关于规范申请专利行为的办法》等。客观题总计30题，其中20题单选题，每题2.5分，10题不定项选择题，每题5分，总计100分。</w:t>
      </w:r>
    </w:p>
    <w:p>
      <w:pPr>
        <w:pStyle w:val="2"/>
        <w:spacing w:line="580" w:lineRule="exact"/>
        <w:ind w:firstLine="640" w:firstLineChars="200"/>
        <w:rPr>
          <w:rFonts w:hint="eastAsia" w:ascii="仿宋_GB2312"/>
          <w:kern w:val="2"/>
          <w:sz w:val="32"/>
        </w:rPr>
      </w:pPr>
      <w:r>
        <w:rPr>
          <w:rFonts w:hint="eastAsia" w:ascii="仿宋_GB2312"/>
          <w:kern w:val="2"/>
          <w:sz w:val="32"/>
        </w:rPr>
        <w:t>现场答辩环节主要考查选手对技术方案与现有技术的理解、权利要求撰写、专利审查内容等方面的知识掌握和运用能力，总计100分。</w:t>
      </w:r>
    </w:p>
    <w:p>
      <w:pPr>
        <w:pStyle w:val="2"/>
        <w:spacing w:line="580" w:lineRule="exact"/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三、评分规则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ascii="仿宋_GB2312"/>
        </w:rPr>
        <w:t>初赛和决赛均采取百分制</w:t>
      </w:r>
      <w:r>
        <w:rPr>
          <w:rFonts w:hint="eastAsia" w:ascii="仿宋_GB2312"/>
        </w:rPr>
        <w:t>（得分四舍五入保留小数点后一位），其中初赛部分选手评分排名不分技术领域。</w:t>
      </w:r>
    </w:p>
    <w:p>
      <w:pPr>
        <w:spacing w:line="580" w:lineRule="exact"/>
        <w:ind w:firstLine="640" w:firstLineChars="200"/>
        <w:rPr>
          <w:rFonts w:hint="eastAsia" w:ascii="仿宋_GB2312"/>
          <w:color w:val="000000"/>
          <w:highlight w:val="yellow"/>
        </w:rPr>
      </w:pPr>
      <w:r>
        <w:rPr>
          <w:rFonts w:ascii="仿宋_GB2312"/>
          <w:color w:val="000000"/>
        </w:rPr>
        <w:t>（一）初赛评分标准</w:t>
      </w:r>
    </w:p>
    <w:p>
      <w:pPr>
        <w:spacing w:line="580" w:lineRule="exact"/>
        <w:ind w:firstLine="640" w:firstLineChars="200"/>
        <w:rPr>
          <w:rFonts w:hint="eastAsia" w:ascii="仿宋_GB2312"/>
          <w:color w:val="000000"/>
          <w:highlight w:val="none"/>
        </w:rPr>
      </w:pPr>
      <w:r>
        <w:rPr>
          <w:rFonts w:hint="eastAsia" w:ascii="仿宋_GB2312"/>
          <w:color w:val="000000"/>
        </w:rPr>
        <w:t>1.</w:t>
      </w:r>
      <w:r>
        <w:rPr>
          <w:rFonts w:ascii="仿宋_GB2312"/>
          <w:color w:val="000000"/>
        </w:rPr>
        <w:t>权利要求的数量合理</w:t>
      </w:r>
      <w:r>
        <w:rPr>
          <w:rFonts w:hint="eastAsia" w:ascii="仿宋_GB2312"/>
          <w:color w:val="000000"/>
        </w:rPr>
        <w:t>，</w:t>
      </w:r>
      <w:r>
        <w:rPr>
          <w:rFonts w:hint="eastAsia" w:ascii="仿宋_GB2312"/>
          <w:color w:val="000000"/>
          <w:highlight w:val="none"/>
        </w:rPr>
        <w:t>充分考虑发明点相关的所有保护主题</w:t>
      </w:r>
      <w:r>
        <w:rPr>
          <w:rFonts w:ascii="仿宋_GB2312"/>
          <w:color w:val="000000"/>
          <w:highlight w:val="none"/>
        </w:rPr>
        <w:t>（5分）</w:t>
      </w:r>
      <w:r>
        <w:rPr>
          <w:rFonts w:hint="eastAsia" w:ascii="仿宋_GB2312"/>
          <w:color w:val="000000"/>
          <w:highlight w:val="none"/>
        </w:rPr>
        <w:t>。</w:t>
      </w:r>
    </w:p>
    <w:p>
      <w:pPr>
        <w:spacing w:line="580" w:lineRule="exact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　　2</w:t>
      </w:r>
      <w:r>
        <w:rPr>
          <w:rFonts w:ascii="仿宋_GB2312"/>
          <w:color w:val="000000"/>
        </w:rPr>
        <w:t>.从多角度对权利要求进行了布局（比如是否分别布局了装置结构类、系统类、方法类以及用途类的独立权利要求）（10分）</w:t>
      </w:r>
      <w:r>
        <w:rPr>
          <w:rFonts w:hint="eastAsia" w:ascii="仿宋_GB2312"/>
          <w:color w:val="000000"/>
        </w:rPr>
        <w:t>。</w:t>
      </w:r>
    </w:p>
    <w:p>
      <w:pPr>
        <w:spacing w:line="580" w:lineRule="exact"/>
        <w:rPr>
          <w:rFonts w:hint="eastAsia" w:ascii="仿宋_GB2312"/>
          <w:color w:val="000000"/>
          <w:highlight w:val="yellow"/>
        </w:rPr>
      </w:pPr>
      <w:r>
        <w:rPr>
          <w:rFonts w:hint="eastAsia" w:ascii="仿宋_GB2312"/>
          <w:color w:val="000000"/>
          <w:highlight w:val="none"/>
        </w:rPr>
        <w:t>　　３.权利要求书应当以说明书为依据，清楚、简要地限定专利保护范围。</w:t>
      </w:r>
      <w:r>
        <w:rPr>
          <w:rFonts w:ascii="仿宋_GB2312"/>
          <w:color w:val="000000"/>
          <w:highlight w:val="none"/>
        </w:rPr>
        <w:t>必</w:t>
      </w:r>
      <w:r>
        <w:rPr>
          <w:rFonts w:ascii="仿宋_GB2312"/>
          <w:color w:val="000000"/>
        </w:rPr>
        <w:t>要技术特征和非必要技术特征划分正确合理（10分）</w:t>
      </w:r>
      <w:r>
        <w:rPr>
          <w:rFonts w:hint="eastAsia" w:ascii="仿宋_GB2312"/>
          <w:color w:val="000000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4.</w:t>
      </w:r>
      <w:r>
        <w:rPr>
          <w:rFonts w:ascii="仿宋_GB2312"/>
          <w:color w:val="000000"/>
        </w:rPr>
        <w:t>权利要求的撰写清楚简要，能够得到说明书的支持（10分）</w:t>
      </w:r>
      <w:r>
        <w:rPr>
          <w:rFonts w:hint="eastAsia" w:ascii="仿宋_GB2312"/>
          <w:color w:val="000000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5.</w:t>
      </w:r>
      <w:r>
        <w:rPr>
          <w:rFonts w:ascii="仿宋_GB2312"/>
          <w:color w:val="000000"/>
        </w:rPr>
        <w:t>独立权利要求包含了所有的必要技术特征，且不包括必要技术特征以外的其他技术特征（10分）</w:t>
      </w:r>
      <w:r>
        <w:rPr>
          <w:rFonts w:hint="eastAsia" w:ascii="仿宋_GB2312"/>
          <w:color w:val="000000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/>
          <w:color w:val="000000"/>
          <w:highlight w:val="yellow"/>
        </w:rPr>
      </w:pPr>
      <w:r>
        <w:rPr>
          <w:rFonts w:hint="eastAsia" w:ascii="仿宋_GB2312"/>
          <w:color w:val="000000"/>
        </w:rPr>
        <w:t>6.</w:t>
      </w:r>
      <w:r>
        <w:rPr>
          <w:rFonts w:hint="eastAsia" w:ascii="仿宋_GB2312"/>
          <w:color w:val="000000"/>
          <w:highlight w:val="none"/>
        </w:rPr>
        <w:t>独立权利要求应当与技术交底书中的发明点对应，且对发明点的理解准确、表述准确。保护范围合理。（</w:t>
      </w:r>
      <w:r>
        <w:rPr>
          <w:rFonts w:ascii="仿宋_GB2312"/>
          <w:color w:val="000000"/>
          <w:highlight w:val="none"/>
        </w:rPr>
        <w:t>10分</w:t>
      </w:r>
      <w:r>
        <w:rPr>
          <w:rFonts w:ascii="仿宋_GB2312"/>
          <w:color w:val="000000"/>
        </w:rPr>
        <w:t>）</w:t>
      </w:r>
      <w:r>
        <w:rPr>
          <w:rFonts w:hint="eastAsia" w:ascii="仿宋_GB2312"/>
          <w:color w:val="000000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7.</w:t>
      </w:r>
      <w:r>
        <w:rPr>
          <w:rFonts w:ascii="仿宋_GB2312"/>
          <w:color w:val="000000"/>
        </w:rPr>
        <w:t>权利要求进行了合理的上位概括（10分）</w:t>
      </w:r>
      <w:r>
        <w:rPr>
          <w:rFonts w:hint="eastAsia" w:ascii="仿宋_GB2312"/>
          <w:color w:val="000000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8.</w:t>
      </w:r>
      <w:r>
        <w:rPr>
          <w:rFonts w:ascii="仿宋_GB2312"/>
          <w:color w:val="000000"/>
        </w:rPr>
        <w:t>对于上位概括的权利要求有两个以上实施例进行支持（5分）</w:t>
      </w:r>
      <w:r>
        <w:rPr>
          <w:rFonts w:hint="eastAsia" w:ascii="仿宋_GB2312"/>
          <w:color w:val="000000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9.</w:t>
      </w:r>
      <w:r>
        <w:rPr>
          <w:rFonts w:ascii="仿宋_GB2312"/>
          <w:color w:val="000000"/>
        </w:rPr>
        <w:t>独立权利要求没有因为过度上位概括而导致其缺乏新颖性</w:t>
      </w:r>
      <w:r>
        <w:rPr>
          <w:rFonts w:hint="eastAsia" w:ascii="仿宋_GB2312"/>
          <w:color w:val="000000"/>
        </w:rPr>
        <w:t>。从属权利要求保护范围合理，能根据对应的实施例对技术特征进行合理变形、上位或概况。</w:t>
      </w:r>
      <w:r>
        <w:rPr>
          <w:rFonts w:ascii="仿宋_GB2312"/>
          <w:color w:val="000000"/>
        </w:rPr>
        <w:t>（5分）</w:t>
      </w:r>
      <w:r>
        <w:rPr>
          <w:rFonts w:hint="eastAsia" w:ascii="仿宋_GB2312"/>
          <w:color w:val="000000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10.</w:t>
      </w:r>
      <w:r>
        <w:rPr>
          <w:rFonts w:ascii="仿宋_GB2312"/>
          <w:color w:val="000000"/>
        </w:rPr>
        <w:t>说明书中的技术方案完整、清楚、公开充分（10分）</w:t>
      </w:r>
      <w:r>
        <w:rPr>
          <w:rFonts w:hint="eastAsia" w:ascii="仿宋_GB2312"/>
          <w:color w:val="000000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11.</w:t>
      </w:r>
      <w:r>
        <w:rPr>
          <w:rFonts w:ascii="仿宋_GB2312"/>
          <w:color w:val="000000"/>
        </w:rPr>
        <w:t>说明书中实施例数量合理（5分）</w:t>
      </w:r>
      <w:r>
        <w:rPr>
          <w:rFonts w:hint="eastAsia" w:ascii="仿宋_GB2312"/>
          <w:color w:val="000000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12.</w:t>
      </w:r>
      <w:r>
        <w:rPr>
          <w:rFonts w:ascii="仿宋_GB2312"/>
          <w:color w:val="000000"/>
        </w:rPr>
        <w:t>说明书中技术领域和背景技术的描述充分、合理（5分）</w:t>
      </w:r>
      <w:r>
        <w:rPr>
          <w:rFonts w:hint="eastAsia" w:ascii="仿宋_GB2312"/>
          <w:color w:val="000000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/>
          <w:color w:val="000000"/>
          <w:highlight w:val="none"/>
        </w:rPr>
      </w:pPr>
      <w:r>
        <w:rPr>
          <w:rFonts w:hint="eastAsia" w:ascii="仿宋_GB2312"/>
          <w:color w:val="000000"/>
          <w:highlight w:val="none"/>
        </w:rPr>
        <w:t>1</w:t>
      </w:r>
      <w:r>
        <w:rPr>
          <w:rFonts w:ascii="仿宋_GB2312"/>
          <w:color w:val="000000"/>
          <w:highlight w:val="none"/>
        </w:rPr>
        <w:t>3.</w:t>
      </w:r>
      <w:r>
        <w:rPr>
          <w:rFonts w:hint="eastAsia" w:ascii="仿宋_GB2312"/>
          <w:color w:val="000000"/>
          <w:highlight w:val="none"/>
        </w:rPr>
        <w:t>权利要求书、说明书的撰写应当满足《专利法》、《专利审查指南》中对权利要求撰写形式的其他要求。（5分）</w:t>
      </w:r>
    </w:p>
    <w:p>
      <w:pPr>
        <w:spacing w:line="580" w:lineRule="exact"/>
        <w:ind w:firstLine="640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（二）决赛答辩环节评分标准</w:t>
      </w:r>
    </w:p>
    <w:p>
      <w:pPr>
        <w:spacing w:line="580" w:lineRule="exact"/>
        <w:ind w:firstLine="640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1.准确评述了最接近的现有技术（20分）。</w:t>
      </w:r>
    </w:p>
    <w:p>
      <w:pPr>
        <w:spacing w:line="580" w:lineRule="exact"/>
        <w:ind w:firstLine="640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2.划分必要技术特征，对独立权利要求的新创性评述准确（30分）。</w:t>
      </w:r>
    </w:p>
    <w:p>
      <w:pPr>
        <w:spacing w:line="580" w:lineRule="exact"/>
        <w:ind w:firstLine="640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3.准确指出示例申请文件中存在的缺陷（30分）。</w:t>
      </w:r>
    </w:p>
    <w:p>
      <w:pPr>
        <w:spacing w:line="580" w:lineRule="exact"/>
        <w:ind w:firstLine="640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4.现场答题思维敏捷、逻辑清晰、表达流畅、情绪稳定，仪表仪态良好（20分）。</w:t>
      </w:r>
    </w:p>
    <w:p>
      <w:pPr>
        <w:pStyle w:val="2"/>
        <w:spacing w:line="580" w:lineRule="exact"/>
        <w:ind w:firstLine="640" w:firstLineChars="200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四、竞赛要求</w:t>
      </w:r>
    </w:p>
    <w:p>
      <w:pPr>
        <w:spacing w:line="580" w:lineRule="exact"/>
        <w:ind w:firstLine="640" w:firstLineChars="200"/>
        <w:rPr>
          <w:rFonts w:ascii="仿宋_GB2312"/>
          <w:color w:val="000000"/>
        </w:rPr>
      </w:pPr>
      <w:r>
        <w:rPr>
          <w:rFonts w:ascii="仿宋_GB2312"/>
          <w:color w:val="000000"/>
        </w:rPr>
        <w:t>（一）初赛</w:t>
      </w:r>
    </w:p>
    <w:p>
      <w:pPr>
        <w:spacing w:line="580" w:lineRule="exact"/>
        <w:ind w:firstLine="640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1.采用线上撰写</w:t>
      </w:r>
      <w:r>
        <w:rPr>
          <w:rFonts w:hint="eastAsia" w:ascii="仿宋_GB2312"/>
          <w:color w:val="000000"/>
          <w:lang w:val="en-US" w:eastAsia="zh-CN"/>
        </w:rPr>
        <w:t>竞赛</w:t>
      </w:r>
      <w:r>
        <w:rPr>
          <w:rFonts w:hint="eastAsia" w:ascii="仿宋_GB2312"/>
          <w:color w:val="000000"/>
        </w:rPr>
        <w:t>模式，选手需自行配备带摄像头功能的电脑或安装相适应的高清摄像头，确保可以满足竞赛过程中的人脸识别和在线监考要求。</w:t>
      </w:r>
    </w:p>
    <w:p>
      <w:pPr>
        <w:spacing w:line="580" w:lineRule="exact"/>
        <w:ind w:firstLine="640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2.答题环节选手需全程打开摄像头，比赛前10分钟通过人脸识别功能，输入身份证号和密码登入系统，当系统提示开始时进入答题环节。</w:t>
      </w:r>
    </w:p>
    <w:p>
      <w:pPr>
        <w:spacing w:line="580" w:lineRule="exact"/>
        <w:ind w:firstLine="640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3.参赛选手迟到10分钟者进入系统不得参加竞赛，选手可提前30分钟结束竞赛。选手在指定时间内完成专利撰写，答题时间为4小时，根据成绩选拔前30名（含第30名）选手进入决赛。</w:t>
      </w:r>
    </w:p>
    <w:p>
      <w:pPr>
        <w:spacing w:line="580" w:lineRule="exact"/>
        <w:ind w:firstLine="640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4.选手在竞赛中不可以切屏，切屏超过2次系统将默认视为作弊并自动交题，此次竞赛成绩作废。竞赛结束后系统自动将答题内容上传保存。</w:t>
      </w:r>
    </w:p>
    <w:p>
      <w:pPr>
        <w:spacing w:line="580" w:lineRule="exact"/>
        <w:ind w:firstLine="640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5.参加初赛选手需线上对所有信息真实性进行个人声明，若有不诚信事宜，取消其参赛资格。</w:t>
      </w:r>
    </w:p>
    <w:p>
      <w:pPr>
        <w:spacing w:line="580" w:lineRule="exact"/>
        <w:ind w:firstLine="640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6.参赛选手同意在大赛期间创作、完成或发现的（无论是单独或与他人共同）与大赛内容相关的知识产权应当属于主办方的财产，同意主办方使用和披露该成果。</w:t>
      </w:r>
    </w:p>
    <w:p>
      <w:pPr>
        <w:spacing w:line="580" w:lineRule="exact"/>
        <w:ind w:firstLine="640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 xml:space="preserve">7.参赛选手在参加大赛期间，对主办方提供的各类资料及在大赛过程中创作、完成、发现的与大赛内容相关的材料和成果负有保密责任。在大赛期间和大赛结束后，未经主办方允许不得披露相关资料。   </w:t>
      </w:r>
    </w:p>
    <w:p>
      <w:pPr>
        <w:spacing w:line="580" w:lineRule="exact"/>
        <w:ind w:firstLine="640" w:firstLineChars="2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8</w:t>
      </w:r>
      <w:r>
        <w:rPr>
          <w:rFonts w:ascii="仿宋_GB2312"/>
          <w:color w:val="000000"/>
        </w:rPr>
        <w:t>.</w:t>
      </w:r>
      <w:r>
        <w:rPr>
          <w:rFonts w:hint="eastAsia" w:ascii="仿宋_GB2312"/>
          <w:color w:val="000000"/>
        </w:rPr>
        <w:t>苏州大学苏州知识产权研究院将提前制作竞赛</w:t>
      </w:r>
      <w:r>
        <w:rPr>
          <w:rFonts w:ascii="仿宋_GB2312"/>
          <w:color w:val="000000"/>
        </w:rPr>
        <w:t>系统教</w:t>
      </w:r>
      <w:r>
        <w:rPr>
          <w:rFonts w:hint="eastAsia" w:ascii="仿宋_GB2312"/>
          <w:color w:val="000000"/>
        </w:rPr>
        <w:t>学</w:t>
      </w:r>
      <w:r>
        <w:rPr>
          <w:rFonts w:ascii="仿宋_GB2312"/>
          <w:color w:val="000000"/>
        </w:rPr>
        <w:t>视频</w:t>
      </w:r>
      <w:r>
        <w:rPr>
          <w:rFonts w:hint="eastAsia" w:ascii="仿宋_GB2312"/>
          <w:color w:val="000000"/>
        </w:rPr>
        <w:t>，观看链接将通过邮箱发送给参赛选手。</w:t>
      </w:r>
    </w:p>
    <w:p>
      <w:pPr>
        <w:spacing w:line="580" w:lineRule="exact"/>
        <w:ind w:firstLine="640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9.初赛报名及竞赛系统</w:t>
      </w:r>
      <w:r>
        <w:rPr>
          <w:rFonts w:ascii="仿宋_GB2312"/>
          <w:color w:val="000000"/>
        </w:rPr>
        <w:t>技术支持联系</w:t>
      </w:r>
      <w:r>
        <w:rPr>
          <w:rFonts w:hint="eastAsia" w:ascii="仿宋_GB2312"/>
          <w:color w:val="000000"/>
        </w:rPr>
        <w:t>人：</w:t>
      </w:r>
      <w:r>
        <w:rPr>
          <w:rFonts w:ascii="仿宋_GB2312"/>
          <w:color w:val="000000"/>
        </w:rPr>
        <w:t>庆牧野</w:t>
      </w:r>
      <w:r>
        <w:rPr>
          <w:rFonts w:hint="eastAsia" w:ascii="仿宋_GB2312"/>
          <w:color w:val="000000"/>
        </w:rPr>
        <w:t>，联系</w:t>
      </w:r>
      <w:r>
        <w:rPr>
          <w:rFonts w:ascii="仿宋_GB2312"/>
          <w:color w:val="000000"/>
        </w:rPr>
        <w:t>方式：</w:t>
      </w:r>
      <w:r>
        <w:rPr>
          <w:rFonts w:hint="eastAsia" w:ascii="仿宋_GB2312"/>
          <w:color w:val="000000"/>
        </w:rPr>
        <w:t>0512-65390527，18888177737。</w:t>
      </w:r>
    </w:p>
    <w:p>
      <w:pPr>
        <w:spacing w:line="580" w:lineRule="exact"/>
        <w:ind w:firstLine="640" w:firstLineChars="2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10.比赛承办方联系人：孙翔，联系方式：0512-65390501,18706188740。</w:t>
      </w:r>
    </w:p>
    <w:p>
      <w:pPr>
        <w:spacing w:line="580" w:lineRule="exact"/>
        <w:ind w:firstLine="640" w:firstLineChars="200"/>
        <w:rPr>
          <w:rFonts w:ascii="仿宋_GB2312"/>
          <w:color w:val="000000"/>
        </w:rPr>
      </w:pPr>
      <w:r>
        <w:rPr>
          <w:rFonts w:ascii="仿宋_GB2312"/>
          <w:color w:val="000000"/>
        </w:rPr>
        <w:t>（二）决赛</w:t>
      </w:r>
    </w:p>
    <w:p>
      <w:pPr>
        <w:spacing w:line="580" w:lineRule="exact"/>
        <w:ind w:firstLine="640" w:firstLineChars="200"/>
        <w:rPr>
          <w:rFonts w:hint="eastAsia" w:ascii="仿宋_GB2312"/>
          <w:color w:val="000000"/>
        </w:rPr>
      </w:pPr>
      <w:r>
        <w:rPr>
          <w:rFonts w:ascii="仿宋_GB2312"/>
          <w:color w:val="000000"/>
        </w:rPr>
        <w:t>1.决赛的参赛选手凭身份证由工作人员带入考场，迟到10分钟者不得参加竞赛，中途退出者取消竞赛资格</w:t>
      </w:r>
      <w:r>
        <w:rPr>
          <w:rFonts w:hint="eastAsia" w:ascii="仿宋_GB2312"/>
          <w:color w:val="000000"/>
        </w:rPr>
        <w:t>。</w:t>
      </w:r>
    </w:p>
    <w:p>
      <w:pPr>
        <w:spacing w:line="580" w:lineRule="exact"/>
        <w:ind w:firstLine="640" w:firstLineChars="200"/>
      </w:pPr>
      <w:r>
        <w:rPr>
          <w:rFonts w:ascii="仿宋_GB2312"/>
          <w:color w:val="000000"/>
        </w:rPr>
        <w:t>2.决赛期间，现场设有监督员，参赛选手一经发现有违规行为，由监督员带离现场，取消竞赛资格。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NzEzYTYxNDdlM2UyY2I4ZTdiZWNhYWM4MDc4ZDgifQ=="/>
  </w:docVars>
  <w:rsids>
    <w:rsidRoot w:val="062C7033"/>
    <w:rsid w:val="062C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2022-06-17T08:14:00Z</dcterms:created>
  <dc:creator>13812681612</dc:creator>
  <cp:lastModifiedBy>13812681612</cp:lastModifiedBy>
  <dcterms:modified xsi:type="dcterms:W3CDTF">2022-06-17T08:14:41Z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E10691A3D8AF494A9626EA23B5BBE986</vt:lpwstr>
  </property>
</Properties>
</file>