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880"/>
        <w:jc w:val="center"/>
        <w:outlineLvl w:val="0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江苏省工业互联网标杆工厂建设指南</w:t>
      </w:r>
    </w:p>
    <w:p>
      <w:pPr>
        <w:ind w:firstLine="420"/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根据国家《国务院关于深化“互联网+先进制造业”发展工业互联网的指导意见》，以及江苏省工业互联网协同发展工作要求，鼓励和支持企业开展工业互联网技术集成应用，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江苏省工业互联网标杆工厂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，特制订本指南。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互联网标杆工厂主要依托工业互联网平台，综合运用数据采集与集成应用、建模分析与优化等技术，实现制造系统各层级优化，以及产品、工厂资产和商业的全流程优化，完成企业生产模式创新。本指南主要包括企业基础能力、企业标杆能力和业态模式创新等方面建设内容。</w:t>
      </w:r>
    </w:p>
    <w:p>
      <w:pPr>
        <w:spacing w:line="560" w:lineRule="exact"/>
        <w:ind w:firstLine="64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一、企业基础能力</w:t>
      </w:r>
    </w:p>
    <w:p>
      <w:pPr>
        <w:spacing w:line="560" w:lineRule="exact"/>
        <w:ind w:firstLine="64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1、基础技术能力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一是网络技术方面。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在工厂内建有相对完善的通信网络架构，建立标识管理系统，运用实时工业以太网、</w:t>
      </w:r>
      <w:r>
        <w:rPr>
          <w:rFonts w:ascii="仿宋_GB2312" w:hAnsi="仿宋_GB2312" w:eastAsia="仿宋_GB2312" w:cs="仿宋_GB2312"/>
          <w:sz w:val="32"/>
          <w:szCs w:val="32"/>
        </w:rPr>
        <w:t>4G/5G通讯、NB-IoT、工业PON、IP</w:t>
      </w:r>
      <w:r>
        <w:rPr>
          <w:rFonts w:hint="eastAsia" w:ascii="仿宋_GB2312" w:hAnsi="仿宋_GB2312" w:eastAsia="仿宋_GB2312" w:cs="仿宋_GB2312"/>
          <w:sz w:val="32"/>
          <w:szCs w:val="32"/>
        </w:rPr>
        <w:t>v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等技术，实现设计、工艺、制造、检测、物流等各环节之间的全面互联互通，并形成对产品局部或全部生产流程的信息追溯能力。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二是平台技术方面。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厂内应用工业互联网平台，实现数据的集成、分析和挖掘。综合运用协议转换、边缘计算、分布式存储、并行计算、负载与资源调度、多租户管理、容器与虚拟化、面向服务的架构（SOA）/微服务架构（MSA）、图形化编程、低代码开发、深度学习、知识图谱等技术，拓展数据的汇聚与管理能力，提升企业管理与决策能力，实现面向单独及综合场景的统一建模与集成分析优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三是安全技术方面。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在工厂内部署运用工业防火墙、安全检测审计、入侵检测等安全技术措施，形成网络防护、应急响应等信息安全保障能力，采用全生命周期方法有效避免系统失效。</w:t>
      </w:r>
    </w:p>
    <w:p>
      <w:pPr>
        <w:spacing w:line="560" w:lineRule="exact"/>
        <w:ind w:firstLine="640"/>
        <w:rPr>
          <w:rFonts w:ascii="楷体" w:hAnsi="楷体" w:eastAsia="楷体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2</w:t>
      </w:r>
      <w:r>
        <w:rPr>
          <w:rFonts w:hint="eastAsia" w:ascii="楷体" w:hAnsi="楷体" w:eastAsia="楷体" w:cs="仿宋_GB2312"/>
          <w:sz w:val="32"/>
          <w:szCs w:val="32"/>
        </w:rPr>
        <w:t>、制造系统能力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一是生产现场优化方面。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智能感知与控制、机器视觉、边缘计算、数据可视化管理、数据挖掘、模式识别、统一模型管理等技术，构建建模分析环境和优化模型组件，实现工艺流程的优化调整和产品质量数据的在线检测，完成生产现场的工艺优化与质量检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二是生产管理优化方面。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运用数据集成、统一模型管理、模式识别、事件驱动架构、大数据、数据仓库、非关系型数据库、联机分析处理（</w:t>
      </w:r>
      <w:r>
        <w:rPr>
          <w:rFonts w:ascii="仿宋_GB2312" w:hAnsi="仿宋_GB2312" w:eastAsia="仿宋_GB2312" w:cs="仿宋_GB2312"/>
          <w:sz w:val="32"/>
          <w:szCs w:val="32"/>
        </w:rPr>
        <w:t>OLAP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ascii="仿宋_GB2312" w:hAnsi="仿宋_GB2312" w:eastAsia="仿宋_GB2312" w:cs="仿宋_GB2312"/>
          <w:sz w:val="32"/>
          <w:szCs w:val="32"/>
        </w:rPr>
        <w:t>数据挖掘</w:t>
      </w:r>
      <w:r>
        <w:rPr>
          <w:rFonts w:hint="eastAsia" w:ascii="仿宋_GB2312" w:hAnsi="仿宋_GB2312" w:eastAsia="仿宋_GB2312" w:cs="仿宋_GB2312"/>
          <w:sz w:val="32"/>
          <w:szCs w:val="32"/>
        </w:rPr>
        <w:t>、系统冗余、路径规划算法等技术，实现排产计划调整、产品质量追溯、能耗平衡分析、物流路径控制、安全风险预警等功能，完成生产管理层的进度智能管控、全流程质量优化、能源效率优化、厂内物流优化、智能安全管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三是经营管理优化方面。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运用统一模型管理、事件驱动架构、数据仓库、联机分析处理（</w:t>
      </w:r>
      <w:r>
        <w:rPr>
          <w:rFonts w:ascii="仿宋_GB2312" w:hAnsi="仿宋_GB2312" w:eastAsia="仿宋_GB2312" w:cs="仿宋_GB2312"/>
          <w:sz w:val="32"/>
          <w:szCs w:val="32"/>
        </w:rPr>
        <w:t>OLAP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）、数据挖掘等技术，</w:t>
      </w:r>
      <w:r>
        <w:rPr>
          <w:rFonts w:ascii="仿宋_GB2312" w:hAnsi="仿宋_GB2312" w:eastAsia="仿宋_GB2312" w:cs="仿宋_GB2312"/>
          <w:sz w:val="32"/>
          <w:szCs w:val="32"/>
        </w:rPr>
        <w:t>实现企业管理层对设备执行层的调度控制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、库存资源与生产计划及生产进度的综合分析、财务系统与各经营管理系统的高效协同，完成经营管理中的生产管控一体化、库存管理优化和财务流程优化。</w:t>
      </w:r>
    </w:p>
    <w:p>
      <w:pPr>
        <w:spacing w:line="560" w:lineRule="exact"/>
        <w:ind w:firstLine="64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二、企业标杆能力</w:t>
      </w:r>
    </w:p>
    <w:p>
      <w:pPr>
        <w:spacing w:line="560" w:lineRule="exact"/>
        <w:ind w:firstLine="640"/>
        <w:rPr>
          <w:rFonts w:ascii="楷体" w:hAnsi="楷体" w:eastAsia="楷体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1</w:t>
      </w:r>
      <w:r>
        <w:rPr>
          <w:rFonts w:hint="eastAsia" w:ascii="楷体" w:hAnsi="楷体" w:eastAsia="楷体" w:cs="仿宋_GB2312"/>
          <w:sz w:val="32"/>
          <w:szCs w:val="32"/>
        </w:rPr>
        <w:t>、产品全流程优化能力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一是综合设计仿真优化。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打通产品设计模型、工程仿真模型与工艺仿真模型，构建虚拟数字样机、建立多学科联合建模仿真环境，实现产品的可制造预测与设计、工程与工艺一体化仿真优化。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二是设计制造一体化。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建立设计文件与生产装备控制指令的转化规则库，统一文件格式与传输接口，完善文件转化流程与管控系统，实现设计文件向生产装备控制指令的自动转化，打通产品设计环节与生产环节。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三是产品服务优化。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建立产品运行检测与优化模型，对产品运行、故障数据进行筛选、梳理、存储和管理，向用户提供产品的运行维护、在线检测、预测性维护、故障预警、诊断修复、运行优化和远程升级服务。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四是产品使用反馈优化。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建立产品生产数据和服务</w:t>
      </w:r>
      <w:r>
        <w:rPr>
          <w:rFonts w:ascii="仿宋_GB2312" w:hAnsi="仿宋_GB2312" w:eastAsia="仿宋_GB2312" w:cs="仿宋_GB2312"/>
          <w:sz w:val="32"/>
          <w:szCs w:val="32"/>
        </w:rPr>
        <w:t>/维护数据资源库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将数据反馈到产品的设计和模拟制造阶段，改进产品谱系，优化产品性能，驱动产品优化创新。</w:t>
      </w:r>
    </w:p>
    <w:p>
      <w:pPr>
        <w:spacing w:line="560" w:lineRule="exact"/>
        <w:ind w:firstLine="640"/>
        <w:rPr>
          <w:rFonts w:ascii="楷体" w:hAnsi="楷体" w:eastAsia="楷体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2</w:t>
      </w:r>
      <w:r>
        <w:rPr>
          <w:rFonts w:hint="eastAsia" w:ascii="楷体" w:hAnsi="楷体" w:eastAsia="楷体" w:cs="仿宋_GB2312"/>
          <w:sz w:val="32"/>
          <w:szCs w:val="32"/>
        </w:rPr>
        <w:t>、资产全流程优化能力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一是工厂设计仿真优化。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建立工厂资产与生产流程仿真的环境，建立工厂资产三维模型与生产流程离散事件模型，完成对工厂建成后全厂布局与全部生产流程的虚拟仿真，实现工厂布局优化与制造流程设计缺陷消除。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二是工厂资产运行优化。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通过平台IoTHub等方式接入设备运行，实现对传感器、控制器、机床、机器人等各类设备的数据采集，建立设备参数优化模型，实现基于实时生产环境数据、排产信息、历史运行数据的参数智能配置。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三是工厂资产故障预测。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面向工厂高价值装备建立故障规则库，汇集历史运行与故障数据，训练故障预测模型，基于模型进行故障推断，实现厂内设备的故障在线诊断与预警、预测性维护以及故障修复。</w:t>
      </w:r>
    </w:p>
    <w:p>
      <w:pPr>
        <w:spacing w:line="560" w:lineRule="exact"/>
        <w:ind w:firstLine="640"/>
        <w:rPr>
          <w:rFonts w:ascii="楷体" w:hAnsi="楷体" w:eastAsia="楷体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3</w:t>
      </w:r>
      <w:r>
        <w:rPr>
          <w:rFonts w:hint="eastAsia" w:ascii="楷体" w:hAnsi="楷体" w:eastAsia="楷体" w:cs="仿宋_GB2312"/>
          <w:sz w:val="32"/>
          <w:szCs w:val="32"/>
        </w:rPr>
        <w:t>、商业全流程优化能力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一是用户需求预测。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建立产品需求预测模型，并建立科学的商品生产方案分析系统，结合用户需求与产品生产能力，形成满足消费者预期的产品品类、数量、组合预测，实现对市场的预知性判断。</w:t>
      </w: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二是供应链协同。</w:t>
      </w:r>
      <w:r>
        <w:rPr>
          <w:rFonts w:hint="eastAsia" w:ascii="仿宋_GB2312" w:hAnsi="仿宋_GB2312" w:eastAsia="仿宋_GB2312" w:cs="仿宋_GB2312"/>
          <w:sz w:val="32"/>
          <w:szCs w:val="32"/>
        </w:rPr>
        <w:t>打通供应链上下游生产计划、进度排产、物流配送（输送）环节，实现对全链条生产计划的监测与调整能力，实现面向终端用户的生产计划进度协同与并行组织生产。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三是制造资源协同。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面向企业生产、库存、配送等制造资源，依托平台建立统一的信息发布机制与交易模块，整合并公开发布行业制造资源，引导资源供需对接，采取资源有偿共享模式，实现跨企业的资源配置优化。</w:t>
      </w:r>
      <w:bookmarkEnd w:id="0"/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四是全价值链集成优化。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涵盖原材料价格、生产计划、生产进度、成品订单的全价值链统一分析模型，打通企业生产性原材料采购、单位能耗管控、进度排产、成品销售等环节，实现基于全价值链数据的生产计划智能决策与生产进度动态调整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4</w:t>
      </w:r>
      <w:r>
        <w:rPr>
          <w:rFonts w:hint="eastAsia" w:ascii="楷体" w:hAnsi="楷体" w:eastAsia="楷体" w:cs="仿宋_GB2312"/>
          <w:sz w:val="32"/>
          <w:szCs w:val="32"/>
        </w:rPr>
        <w:t>、跨链条优化能力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一是柔性可重构制造系统设计。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单元化、模块化产线设计，依托平台建立生产单元可重构规则库，重点探索基于产品设计数据的装备、软件、系统智能配置算法，以及面向生产单元、模块的智能组织方式，打通产线设计与产品设计环节，实现制造系统的生产单元自配置与产线自组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二是基于供应链的产品设计优化。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建立面向供应链的产品设计优化规则库，建立涵盖产品设计、工艺流程和供应链设计的综合成本分析模型，打通产品设计环节、仿真环节与供应链设计环节，实现基于供应链设计需求的产品设计优化。</w:t>
      </w:r>
    </w:p>
    <w:p>
      <w:pPr>
        <w:spacing w:line="560" w:lineRule="exact"/>
        <w:ind w:firstLine="64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三、业态模式创新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1</w:t>
      </w:r>
      <w:r>
        <w:rPr>
          <w:rFonts w:hint="eastAsia" w:ascii="楷体" w:hAnsi="楷体" w:eastAsia="楷体" w:cs="仿宋_GB2312"/>
          <w:sz w:val="32"/>
          <w:szCs w:val="32"/>
        </w:rPr>
        <w:t>、智能化产品</w:t>
      </w:r>
    </w:p>
    <w:p>
      <w:pPr>
        <w:spacing w:line="560" w:lineRule="exact"/>
        <w:ind w:firstLine="643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一是打造智能硬件。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基于工业互联网加快基础软硬件、核心算法、先进工业设计及关键应用的创新，实现智能硬件创新能力提升。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二是打造智能机器人。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应用5G、大数据分析、深度学习等新一代信息技术开展人机交互、智能控制、路径规划、多机协作等关键技术研究，优化机器人在复杂环境的感知、认知和控制能力，实现智能机器人创新开放和规模化应用。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三是研制智能无人机。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基于路径规划、目标识别、智能避障、群体作业等关键技术研发与应用，开展智能飞控系统、高集成度专用芯片等关键部件研制，提升无人机智能化水平。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2</w:t>
      </w:r>
      <w:r>
        <w:rPr>
          <w:rFonts w:hint="eastAsia" w:ascii="楷体" w:hAnsi="楷体" w:eastAsia="楷体" w:cs="仿宋_GB2312"/>
          <w:sz w:val="32"/>
          <w:szCs w:val="32"/>
        </w:rPr>
        <w:t>、数字化管理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一是业务流程数据化管理。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工业互联网平台的工业全要素、全产业链、全价值链连接能力，构建端到端业务流程体系，开展生产经营活动核心流程的规划分析、设计定义、固化执行、效率评估和优化重构，实现精益运营的流程管理目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二是设备资产数字化管理。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工业互联网对多源设备、异构系统等要素信息的高效采集和云端汇聚，应用数字孪生创新技术开展设备资产的全生命周期管理,实现基于数据集成应用的生产设备智能运行、柔性调度和高效维护,提升设备综合利用效率。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数据资产数字化管理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，基于工业互联网对企业各层级数据资源的采集、计算、存储、加工，并统一定义、集成共享，构建形成企业数据资产，通过数据应用工具对数据资产进行挖掘应用，实现数据资产价值效益最大化。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3</w:t>
      </w:r>
      <w:r>
        <w:rPr>
          <w:rFonts w:hint="eastAsia" w:ascii="楷体" w:hAnsi="楷体" w:eastAsia="楷体" w:cs="仿宋_GB2312"/>
          <w:sz w:val="32"/>
          <w:szCs w:val="32"/>
        </w:rPr>
        <w:t>、智能化生产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一是工业设备智能优化，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基于设备级数字孪生创新技术，开展设备故障诊断、预测预警、远程控制等新模式应用，提升设备自感知、自诊断、自决策、自执行能力。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二是生产工艺智能优化，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应用数字仿真工具在虚拟空间对制造工艺提前模拟优化，实现基于人工智能技术的工艺参数调优和物料配比优化，提升复杂工艺应用精度。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三是安全环保管理优化，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开展基于智能监控的安全管理、基于数据建模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的能耗管理、基于数据分析的排放控制等创新应用，实现工业企业安全环保管理水平提升。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4</w:t>
      </w:r>
      <w:r>
        <w:rPr>
          <w:rFonts w:hint="eastAsia" w:ascii="楷体" w:hAnsi="楷体" w:eastAsia="楷体" w:cs="仿宋_GB2312"/>
          <w:sz w:val="32"/>
          <w:szCs w:val="32"/>
        </w:rPr>
        <w:t>、网络化协同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一是协同研发设计,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基于工业互联网平台发展基于模型的设计(MBD)、集成研发流程(PD)等新型研发模式,建立多任务协同设计体系，搭建分布式协同环境，依托统一的研发设计模型实现跨区域、跨专业的并行设计。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二是协同生产服务，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工业互联网汇聚各生产中心、产业链上下游合作伙伴等资源，依托平台开展在线接单、按工序分解和多工厂协同,创新应用客户关系管理、在线客户服务等云化应用，突破工厂物理界限和服务供给模式，实现跨企业、跨区域的协同生产服务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5</w:t>
      </w:r>
      <w:r>
        <w:rPr>
          <w:rFonts w:hint="eastAsia" w:ascii="楷体" w:hAnsi="楷体" w:eastAsia="楷体" w:cs="仿宋_GB2312"/>
          <w:sz w:val="32"/>
          <w:szCs w:val="32"/>
        </w:rPr>
        <w:t>、个性化定制（C</w:t>
      </w:r>
      <w:r>
        <w:rPr>
          <w:rFonts w:ascii="楷体" w:hAnsi="楷体" w:eastAsia="楷体" w:cs="仿宋_GB2312"/>
          <w:sz w:val="32"/>
          <w:szCs w:val="32"/>
        </w:rPr>
        <w:t>2M</w:t>
      </w:r>
      <w:r>
        <w:rPr>
          <w:rFonts w:hint="eastAsia" w:ascii="楷体" w:hAnsi="楷体" w:eastAsia="楷体" w:cs="仿宋_GB2312"/>
          <w:sz w:val="32"/>
          <w:szCs w:val="32"/>
        </w:rPr>
        <w:t>数字工厂）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一是需求精准识别，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基于平台精准感知、快速获取、智能分析客户个性化需求,创新开展产品智能推荐、精准营销等业务,促进供给与需求精准匹配。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二是个性化设计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，开展部件标准化、产品模块化，实现迭代式产品研发设计和仿真优化，快速满足客户差异化需求。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三是定制化生产，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组建最小生产单元，围绕客户需求开展制造资源的自动配置和柔性调度，强化与上下游企业的产能共享和联动运作，满足多品种、大批量、生产换线频繁的个性化定制需求。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四是订单快速交付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，通过工业互联网平台从采购、设计、生产、交付等环节开展全流程优化管控，实现对客户订单快速响应交付。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五是客户智能服务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，应用云化软件和工业APP，开展物流跟踪、客户投诉、技术指导、权益维护等创新服务，实现客户满意度提升。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6</w:t>
      </w:r>
      <w:r>
        <w:rPr>
          <w:rFonts w:hint="eastAsia" w:ascii="楷体" w:hAnsi="楷体" w:eastAsia="楷体" w:cs="仿宋_GB2312"/>
          <w:sz w:val="32"/>
          <w:szCs w:val="32"/>
        </w:rPr>
        <w:t>、服务化延伸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一是设备健康管理，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基于工业互联网平台集成生产设备的制造工艺、运行工况、运维检修等数据,并应用大数据分析、人工智能等技术构建数据模型，开展设备健康状态监测、寿命预测等服务。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二是产品远程运维，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基于工业互联网打通产品设计、生产、物流、运维等环节数据，为客户提供产品远程监测、故障预警、可视化辅助检修等服务，实现产品附加值的提升。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三是产能开放共享，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基于工业互联网平台在制造资源和产能方面的泛在连接、弹性供给、高效配置能力，开展产能在线交易和开放共享，实现资源综合配置效率的提升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。四是保险金融服务,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银行、证券、保险、信托、基金等各类金融机构入驻工业互联网平台，并基于工业互联网平台采集的企业生产数据、供应链数据协助金融机构精准评估企业经营状况，建立用户信用模型,为客户开展信用评级、设备融资租赁等创新金融服务。</w:t>
      </w:r>
    </w:p>
    <w:p>
      <w:pPr>
        <w:spacing w:line="560" w:lineRule="exact"/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3702428"/>
      <w:docPartObj>
        <w:docPartGallery w:val="AutoText"/>
      </w:docPartObj>
    </w:sdtPr>
    <w:sdtEndPr>
      <w:rPr>
        <w:rFonts w:eastAsia="方正仿宋_GBK"/>
        <w:sz w:val="28"/>
        <w:szCs w:val="28"/>
      </w:rPr>
    </w:sdtEndPr>
    <w:sdtContent>
      <w:p>
        <w:pPr>
          <w:pStyle w:val="5"/>
          <w:ind w:firstLine="420"/>
          <w:jc w:val="center"/>
          <w:rPr>
            <w:rFonts w:eastAsia="方正仿宋_GBK"/>
            <w:sz w:val="28"/>
            <w:szCs w:val="28"/>
          </w:rPr>
        </w:pPr>
        <w:r>
          <w:rPr>
            <w:rFonts w:eastAsia="方正仿宋_GBK"/>
            <w:sz w:val="28"/>
            <w:szCs w:val="28"/>
          </w:rPr>
          <w:fldChar w:fldCharType="begin"/>
        </w:r>
        <w:r>
          <w:rPr>
            <w:rFonts w:eastAsia="方正仿宋_GBK"/>
            <w:sz w:val="28"/>
            <w:szCs w:val="28"/>
          </w:rPr>
          <w:instrText xml:space="preserve">PAGE   \* MERGEFORMAT</w:instrText>
        </w:r>
        <w:r>
          <w:rPr>
            <w:rFonts w:eastAsia="方正仿宋_GBK"/>
            <w:sz w:val="28"/>
            <w:szCs w:val="28"/>
          </w:rPr>
          <w:fldChar w:fldCharType="separate"/>
        </w:r>
        <w:r>
          <w:rPr>
            <w:rFonts w:eastAsia="方正仿宋_GBK"/>
            <w:sz w:val="28"/>
            <w:szCs w:val="28"/>
            <w:lang w:val="zh-CN"/>
          </w:rPr>
          <w:t>-</w:t>
        </w:r>
        <w:r>
          <w:rPr>
            <w:rFonts w:eastAsia="方正仿宋_GBK"/>
            <w:sz w:val="28"/>
            <w:szCs w:val="28"/>
          </w:rPr>
          <w:t xml:space="preserve"> 1 -</w:t>
        </w:r>
        <w:r>
          <w:rPr>
            <w:rFonts w:eastAsia="方正仿宋_GBK"/>
            <w:sz w:val="28"/>
            <w:szCs w:val="28"/>
          </w:rPr>
          <w:fldChar w:fldCharType="end"/>
        </w:r>
      </w:p>
    </w:sdtContent>
  </w:sdt>
  <w:p>
    <w:pPr>
      <w:pStyle w:val="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E"/>
    <w:rsid w:val="00005280"/>
    <w:rsid w:val="000069C5"/>
    <w:rsid w:val="00010F18"/>
    <w:rsid w:val="000208A1"/>
    <w:rsid w:val="000208FA"/>
    <w:rsid w:val="0002788D"/>
    <w:rsid w:val="0003721F"/>
    <w:rsid w:val="000415F6"/>
    <w:rsid w:val="00041E79"/>
    <w:rsid w:val="000475A9"/>
    <w:rsid w:val="00047901"/>
    <w:rsid w:val="00050F3B"/>
    <w:rsid w:val="000633B3"/>
    <w:rsid w:val="0008709B"/>
    <w:rsid w:val="000A433A"/>
    <w:rsid w:val="000B10A5"/>
    <w:rsid w:val="000C47AE"/>
    <w:rsid w:val="000D35C0"/>
    <w:rsid w:val="000F0F14"/>
    <w:rsid w:val="00113CF2"/>
    <w:rsid w:val="0011459D"/>
    <w:rsid w:val="00114982"/>
    <w:rsid w:val="0012333F"/>
    <w:rsid w:val="0015632F"/>
    <w:rsid w:val="00157736"/>
    <w:rsid w:val="00157850"/>
    <w:rsid w:val="00160CA4"/>
    <w:rsid w:val="001618BB"/>
    <w:rsid w:val="00166195"/>
    <w:rsid w:val="00180B8D"/>
    <w:rsid w:val="00191FFF"/>
    <w:rsid w:val="001B54FF"/>
    <w:rsid w:val="001D3364"/>
    <w:rsid w:val="001D4A6E"/>
    <w:rsid w:val="0020004D"/>
    <w:rsid w:val="00214DD3"/>
    <w:rsid w:val="0023327B"/>
    <w:rsid w:val="00241D33"/>
    <w:rsid w:val="00276D0B"/>
    <w:rsid w:val="002A27AE"/>
    <w:rsid w:val="002A5393"/>
    <w:rsid w:val="002A5E7A"/>
    <w:rsid w:val="002B7048"/>
    <w:rsid w:val="002D67EB"/>
    <w:rsid w:val="002F3585"/>
    <w:rsid w:val="003075C9"/>
    <w:rsid w:val="00311893"/>
    <w:rsid w:val="003215C2"/>
    <w:rsid w:val="00365C76"/>
    <w:rsid w:val="00372D6A"/>
    <w:rsid w:val="0038225F"/>
    <w:rsid w:val="00384CBE"/>
    <w:rsid w:val="00391348"/>
    <w:rsid w:val="003B2B1A"/>
    <w:rsid w:val="003B7C8E"/>
    <w:rsid w:val="003C101D"/>
    <w:rsid w:val="003C2B47"/>
    <w:rsid w:val="003D0CE6"/>
    <w:rsid w:val="003E005E"/>
    <w:rsid w:val="0041625F"/>
    <w:rsid w:val="004219FA"/>
    <w:rsid w:val="00433065"/>
    <w:rsid w:val="00452625"/>
    <w:rsid w:val="00453A04"/>
    <w:rsid w:val="004566A1"/>
    <w:rsid w:val="004725CE"/>
    <w:rsid w:val="00476010"/>
    <w:rsid w:val="00492B53"/>
    <w:rsid w:val="004A0474"/>
    <w:rsid w:val="004B30AA"/>
    <w:rsid w:val="004B76DB"/>
    <w:rsid w:val="004C0794"/>
    <w:rsid w:val="004D2CDE"/>
    <w:rsid w:val="004E1855"/>
    <w:rsid w:val="004F4E7F"/>
    <w:rsid w:val="0051226E"/>
    <w:rsid w:val="005202FE"/>
    <w:rsid w:val="00526EA9"/>
    <w:rsid w:val="00557564"/>
    <w:rsid w:val="005708EA"/>
    <w:rsid w:val="00580A14"/>
    <w:rsid w:val="005820A9"/>
    <w:rsid w:val="00584D0D"/>
    <w:rsid w:val="005B506F"/>
    <w:rsid w:val="005C5676"/>
    <w:rsid w:val="005E120D"/>
    <w:rsid w:val="005E1E38"/>
    <w:rsid w:val="005F6716"/>
    <w:rsid w:val="00610E15"/>
    <w:rsid w:val="006110CD"/>
    <w:rsid w:val="00623CDB"/>
    <w:rsid w:val="006321C0"/>
    <w:rsid w:val="00632421"/>
    <w:rsid w:val="00636A2E"/>
    <w:rsid w:val="00640C57"/>
    <w:rsid w:val="00650119"/>
    <w:rsid w:val="00655281"/>
    <w:rsid w:val="006575C0"/>
    <w:rsid w:val="00657B44"/>
    <w:rsid w:val="0066653A"/>
    <w:rsid w:val="00675D67"/>
    <w:rsid w:val="0068060D"/>
    <w:rsid w:val="006931F0"/>
    <w:rsid w:val="006A1E08"/>
    <w:rsid w:val="006A470B"/>
    <w:rsid w:val="006C631C"/>
    <w:rsid w:val="006D57E4"/>
    <w:rsid w:val="006E1962"/>
    <w:rsid w:val="006E2EB9"/>
    <w:rsid w:val="006E54CD"/>
    <w:rsid w:val="006E75ED"/>
    <w:rsid w:val="007003F1"/>
    <w:rsid w:val="00700F3E"/>
    <w:rsid w:val="00712867"/>
    <w:rsid w:val="00717CF5"/>
    <w:rsid w:val="0074117D"/>
    <w:rsid w:val="007440BB"/>
    <w:rsid w:val="00753E30"/>
    <w:rsid w:val="00757864"/>
    <w:rsid w:val="007607D7"/>
    <w:rsid w:val="007810DB"/>
    <w:rsid w:val="00782EA1"/>
    <w:rsid w:val="0078620B"/>
    <w:rsid w:val="00791A46"/>
    <w:rsid w:val="00792D53"/>
    <w:rsid w:val="00795B24"/>
    <w:rsid w:val="007D57ED"/>
    <w:rsid w:val="007E0B9E"/>
    <w:rsid w:val="007F0A61"/>
    <w:rsid w:val="00802EF2"/>
    <w:rsid w:val="00823359"/>
    <w:rsid w:val="0085486F"/>
    <w:rsid w:val="00865CB0"/>
    <w:rsid w:val="00866093"/>
    <w:rsid w:val="00890A2D"/>
    <w:rsid w:val="00892C89"/>
    <w:rsid w:val="008A1726"/>
    <w:rsid w:val="008A228C"/>
    <w:rsid w:val="008A4FE7"/>
    <w:rsid w:val="008C760C"/>
    <w:rsid w:val="008D0E06"/>
    <w:rsid w:val="008E16B6"/>
    <w:rsid w:val="008F4BCF"/>
    <w:rsid w:val="009319E6"/>
    <w:rsid w:val="0094018D"/>
    <w:rsid w:val="00954C5A"/>
    <w:rsid w:val="00954FE8"/>
    <w:rsid w:val="00956569"/>
    <w:rsid w:val="00964997"/>
    <w:rsid w:val="00965258"/>
    <w:rsid w:val="00965FD7"/>
    <w:rsid w:val="00990B96"/>
    <w:rsid w:val="00991EE6"/>
    <w:rsid w:val="00991FF5"/>
    <w:rsid w:val="009A6D1D"/>
    <w:rsid w:val="009B5A3E"/>
    <w:rsid w:val="009C3DBB"/>
    <w:rsid w:val="009C4934"/>
    <w:rsid w:val="009C4AE1"/>
    <w:rsid w:val="009C6669"/>
    <w:rsid w:val="009D248B"/>
    <w:rsid w:val="00A04429"/>
    <w:rsid w:val="00A16103"/>
    <w:rsid w:val="00A42241"/>
    <w:rsid w:val="00A449E1"/>
    <w:rsid w:val="00A6704A"/>
    <w:rsid w:val="00A74C35"/>
    <w:rsid w:val="00A846E0"/>
    <w:rsid w:val="00AA1631"/>
    <w:rsid w:val="00AB11C4"/>
    <w:rsid w:val="00AF5BA2"/>
    <w:rsid w:val="00B0199D"/>
    <w:rsid w:val="00B1522A"/>
    <w:rsid w:val="00B21581"/>
    <w:rsid w:val="00B269B0"/>
    <w:rsid w:val="00B33A5C"/>
    <w:rsid w:val="00B34656"/>
    <w:rsid w:val="00B45855"/>
    <w:rsid w:val="00B54F1E"/>
    <w:rsid w:val="00B56C29"/>
    <w:rsid w:val="00B658FB"/>
    <w:rsid w:val="00B931F7"/>
    <w:rsid w:val="00BB0726"/>
    <w:rsid w:val="00BB7005"/>
    <w:rsid w:val="00BC38EF"/>
    <w:rsid w:val="00BD6B64"/>
    <w:rsid w:val="00BE1C4E"/>
    <w:rsid w:val="00C02082"/>
    <w:rsid w:val="00C062CE"/>
    <w:rsid w:val="00C126D2"/>
    <w:rsid w:val="00C129DA"/>
    <w:rsid w:val="00C143F8"/>
    <w:rsid w:val="00C22929"/>
    <w:rsid w:val="00C27292"/>
    <w:rsid w:val="00C3431A"/>
    <w:rsid w:val="00C352FC"/>
    <w:rsid w:val="00C46A91"/>
    <w:rsid w:val="00C52133"/>
    <w:rsid w:val="00C5790B"/>
    <w:rsid w:val="00C65B6E"/>
    <w:rsid w:val="00C65C92"/>
    <w:rsid w:val="00C844CB"/>
    <w:rsid w:val="00CA79FD"/>
    <w:rsid w:val="00CB5CFA"/>
    <w:rsid w:val="00CB7A8B"/>
    <w:rsid w:val="00CC127E"/>
    <w:rsid w:val="00CD0447"/>
    <w:rsid w:val="00CD0C81"/>
    <w:rsid w:val="00CE1406"/>
    <w:rsid w:val="00D0242E"/>
    <w:rsid w:val="00D3034C"/>
    <w:rsid w:val="00D30520"/>
    <w:rsid w:val="00D41584"/>
    <w:rsid w:val="00D556FF"/>
    <w:rsid w:val="00D56497"/>
    <w:rsid w:val="00D6473B"/>
    <w:rsid w:val="00D75576"/>
    <w:rsid w:val="00D75647"/>
    <w:rsid w:val="00D761E6"/>
    <w:rsid w:val="00D934B3"/>
    <w:rsid w:val="00D95C1F"/>
    <w:rsid w:val="00DA1774"/>
    <w:rsid w:val="00DA68FF"/>
    <w:rsid w:val="00DB3211"/>
    <w:rsid w:val="00DC6DF4"/>
    <w:rsid w:val="00DD5758"/>
    <w:rsid w:val="00DD6F26"/>
    <w:rsid w:val="00DE47F5"/>
    <w:rsid w:val="00E10708"/>
    <w:rsid w:val="00E144CA"/>
    <w:rsid w:val="00E301D7"/>
    <w:rsid w:val="00E35C3D"/>
    <w:rsid w:val="00E469A2"/>
    <w:rsid w:val="00E62985"/>
    <w:rsid w:val="00E62E88"/>
    <w:rsid w:val="00E66CCF"/>
    <w:rsid w:val="00E66D06"/>
    <w:rsid w:val="00E76F47"/>
    <w:rsid w:val="00E9633C"/>
    <w:rsid w:val="00E974DB"/>
    <w:rsid w:val="00EA529F"/>
    <w:rsid w:val="00ED4BB7"/>
    <w:rsid w:val="00ED5F5D"/>
    <w:rsid w:val="00EF45B5"/>
    <w:rsid w:val="00F41C95"/>
    <w:rsid w:val="00F45E8C"/>
    <w:rsid w:val="00F70D1A"/>
    <w:rsid w:val="00F70DF1"/>
    <w:rsid w:val="00F765D7"/>
    <w:rsid w:val="00F9135B"/>
    <w:rsid w:val="00F94468"/>
    <w:rsid w:val="00FA426C"/>
    <w:rsid w:val="00FB1972"/>
    <w:rsid w:val="00FB609D"/>
    <w:rsid w:val="00FB69ED"/>
    <w:rsid w:val="00FB6CB4"/>
    <w:rsid w:val="00FD1E48"/>
    <w:rsid w:val="00FE7F0F"/>
    <w:rsid w:val="00FF06D4"/>
    <w:rsid w:val="00FF134C"/>
    <w:rsid w:val="28FA3EC9"/>
    <w:rsid w:val="467B232F"/>
    <w:rsid w:val="652E7D96"/>
    <w:rsid w:val="74DF5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 w:line="240" w:lineRule="auto"/>
      <w:ind w:firstLine="0" w:firstLineChars="0"/>
    </w:pPr>
    <w:rPr>
      <w:rFonts w:ascii="Calibri" w:hAnsi="Calibri"/>
      <w:szCs w:val="22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link w:val="6"/>
    <w:qFormat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character" w:customStyle="1" w:styleId="12">
    <w:name w:val="日期 字符"/>
    <w:basedOn w:val="10"/>
    <w:link w:val="3"/>
    <w:qFormat/>
    <w:uiPriority w:val="0"/>
    <w:rPr>
      <w:rFonts w:ascii="Arial" w:hAnsi="Arial"/>
      <w:kern w:val="2"/>
      <w:sz w:val="21"/>
      <w:szCs w:val="24"/>
    </w:rPr>
  </w:style>
  <w:style w:type="character" w:customStyle="1" w:styleId="13">
    <w:name w:val="页脚 字符"/>
    <w:basedOn w:val="10"/>
    <w:link w:val="5"/>
    <w:qFormat/>
    <w:uiPriority w:val="99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正文文本 字符"/>
    <w:basedOn w:val="10"/>
    <w:link w:val="2"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97BBB-9F3B-4BBD-B339-890DA471D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614</Words>
  <Characters>3505</Characters>
  <Lines>29</Lines>
  <Paragraphs>8</Paragraphs>
  <TotalTime>1500</TotalTime>
  <ScaleCrop>false</ScaleCrop>
  <LinksUpToDate>false</LinksUpToDate>
  <CharactersWithSpaces>4111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2019-10-09T06:42:00Z</dcterms:created>
  <dc:creator>孙桂林</dc:creator>
  <cp:lastModifiedBy>Kalon</cp:lastModifiedBy>
  <cp:lastPrinted>2020-12-25T09:26:37Z</cp:lastPrinted>
  <dcterms:modified xsi:type="dcterms:W3CDTF">2020-12-25T09:26:56Z</dcterms:modified>
  <dc:title>苏经信减负〔2017〕883号              签发人：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