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微软雅黑"/>
          <w:b/>
          <w:sz w:val="36"/>
          <w:szCs w:val="36"/>
        </w:rPr>
      </w:pPr>
      <w:r>
        <w:rPr>
          <w:rFonts w:hint="eastAsia" w:ascii="黑体" w:hAnsi="黑体" w:eastAsia="黑体" w:cs="微软雅黑"/>
          <w:b/>
          <w:sz w:val="36"/>
          <w:szCs w:val="36"/>
        </w:rPr>
        <w:t>财政专项资金平台收据打印操作指南</w:t>
      </w:r>
      <w:r>
        <w:rPr>
          <w:rFonts w:ascii="黑体" w:hAnsi="黑体" w:eastAsia="黑体" w:cs="微软雅黑"/>
          <w:b/>
          <w:sz w:val="36"/>
          <w:szCs w:val="36"/>
        </w:rPr>
        <w:br w:type="textWrapping"/>
      </w:r>
      <w:r>
        <w:rPr>
          <w:rFonts w:hint="eastAsia" w:ascii="黑体" w:hAnsi="黑体" w:eastAsia="黑体" w:cs="微软雅黑"/>
          <w:sz w:val="24"/>
          <w:szCs w:val="36"/>
        </w:rPr>
        <w:t>（</w:t>
      </w:r>
      <w:r>
        <w:rPr>
          <w:rFonts w:hint="eastAsia" w:ascii="黑体" w:hAnsi="黑体" w:eastAsia="黑体" w:cs="微软雅黑"/>
          <w:sz w:val="24"/>
          <w:szCs w:val="36"/>
          <w:lang w:val="en-US" w:eastAsia="zh-CN"/>
        </w:rPr>
        <w:t>正式</w:t>
      </w:r>
      <w:r>
        <w:rPr>
          <w:rFonts w:hint="eastAsia" w:ascii="黑体" w:hAnsi="黑体" w:eastAsia="黑体" w:cs="微软雅黑"/>
          <w:sz w:val="24"/>
          <w:szCs w:val="36"/>
          <w:lang w:eastAsia="zh-CN"/>
        </w:rPr>
        <w:t>环境</w:t>
      </w:r>
      <w:r>
        <w:rPr>
          <w:rFonts w:hint="eastAsia" w:ascii="黑体" w:hAnsi="黑体" w:eastAsia="黑体" w:cs="微软雅黑"/>
          <w:sz w:val="24"/>
          <w:szCs w:val="36"/>
          <w:lang w:val="en-US" w:eastAsia="zh-CN"/>
        </w:rPr>
        <w:t>-</w:t>
      </w:r>
      <w:r>
        <w:rPr>
          <w:rFonts w:hint="eastAsia" w:ascii="黑体" w:hAnsi="黑体" w:eastAsia="黑体" w:cs="微软雅黑"/>
          <w:sz w:val="24"/>
          <w:szCs w:val="36"/>
        </w:rPr>
        <w:t>企业版）</w:t>
      </w:r>
    </w:p>
    <w:p>
      <w:pPr>
        <w:pStyle w:val="10"/>
        <w:numPr>
          <w:ilvl w:val="0"/>
          <w:numId w:val="2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系统登录</w:t>
      </w:r>
    </w:p>
    <w:p>
      <w:pPr>
        <w:adjustRightInd w:val="0"/>
        <w:snapToGrid w:val="0"/>
        <w:spacing w:after="156" w:afterLines="50"/>
        <w:ind w:firstLine="480" w:firstLineChars="200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</w:rPr>
        <w:t>访问企业发展服务中心网站</w:t>
      </w:r>
      <w:r>
        <w:rPr>
          <w:rFonts w:hint="eastAsia" w:ascii="微软雅黑" w:hAnsi="微软雅黑" w:eastAsia="微软雅黑"/>
          <w:sz w:val="24"/>
          <w:lang w:eastAsia="zh-CN"/>
        </w:rPr>
        <w:t>：http://sme.sipac.gov.cn</w:t>
      </w:r>
    </w:p>
    <w:p>
      <w:pPr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</w:p>
    <w:p>
      <w:pPr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点击右上方按钮</w:t>
      </w:r>
      <w:r>
        <w:rPr>
          <w:rFonts w:hint="eastAsia" w:ascii="微软雅黑" w:hAnsi="微软雅黑" w:eastAsia="微软雅黑"/>
          <w:b/>
          <w:sz w:val="24"/>
        </w:rPr>
        <w:t>“</w:t>
      </w:r>
      <w:r>
        <w:rPr>
          <w:rFonts w:hint="eastAsia" w:ascii="微软雅黑" w:hAnsi="微软雅黑" w:eastAsia="微软雅黑"/>
          <w:sz w:val="24"/>
          <w:u w:val="single"/>
        </w:rPr>
        <w:t>登录</w:t>
      </w:r>
      <w:r>
        <w:rPr>
          <w:rFonts w:hint="eastAsia" w:ascii="微软雅黑" w:hAnsi="微软雅黑" w:eastAsia="微软雅黑"/>
          <w:b/>
          <w:sz w:val="24"/>
        </w:rPr>
        <w:t>”</w:t>
      </w:r>
      <w:r>
        <w:rPr>
          <w:rFonts w:hint="eastAsia" w:ascii="微软雅黑" w:hAnsi="微软雅黑" w:eastAsia="微软雅黑"/>
          <w:sz w:val="24"/>
        </w:rPr>
        <w:t>，选择</w:t>
      </w:r>
      <w:r>
        <w:rPr>
          <w:rFonts w:hint="eastAsia" w:ascii="微软雅黑" w:hAnsi="微软雅黑" w:eastAsia="微软雅黑"/>
          <w:sz w:val="24"/>
          <w:u w:val="single"/>
        </w:rPr>
        <w:t>企业用户</w:t>
      </w:r>
      <w:r>
        <w:rPr>
          <w:rFonts w:hint="eastAsia" w:ascii="微软雅黑" w:hAnsi="微软雅黑" w:eastAsia="微软雅黑"/>
          <w:sz w:val="24"/>
        </w:rPr>
        <w:t>进行登录，如下图所示：</w:t>
      </w:r>
    </w:p>
    <w:p>
      <w:pPr>
        <w:jc w:val="center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4728210" cy="25165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" r="4578"/>
                    <a:stretch>
                      <a:fillRect/>
                    </a:stretch>
                  </pic:blipFill>
                  <pic:spPr>
                    <a:xfrm>
                      <a:off x="0" y="0"/>
                      <a:ext cx="4772815" cy="25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cs="微软雅黑" w:asciiTheme="majorEastAsia" w:hAnsiTheme="majorEastAsia" w:eastAsiaTheme="majorEastAsia"/>
          <w:sz w:val="22"/>
        </w:rPr>
      </w:pPr>
      <w:r>
        <w:rPr>
          <w:rFonts w:hint="eastAsia" w:ascii="微软雅黑" w:hAnsi="微软雅黑" w:eastAsia="微软雅黑"/>
        </w:rPr>
        <w:t>注：若从未注册，请先注册企业用户。注册、登录如遇到问题请拨打4008869930。</w:t>
      </w:r>
    </w:p>
    <w:p>
      <w:pPr>
        <w:pStyle w:val="10"/>
        <w:numPr>
          <w:ilvl w:val="0"/>
          <w:numId w:val="2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系统访问路径</w:t>
      </w:r>
    </w:p>
    <w:p>
      <w:pPr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登录成功后进入管理台，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</w:rPr>
        <w:t>选择我的服务-&gt;财政专项资金平台，如下图所示：</w:t>
      </w:r>
    </w:p>
    <w:p>
      <w:pPr>
        <w:adjustRightInd w:val="0"/>
        <w:snapToGrid w:val="0"/>
        <w:spacing w:line="360" w:lineRule="auto"/>
        <w:jc w:val="center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4816475" cy="2793365"/>
            <wp:effectExtent l="19050" t="19050" r="22225" b="260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749" cy="2821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进入财政专项资金平台后，可看到待拨付资金列表，如下图所示：</w:t>
      </w:r>
    </w:p>
    <w:p>
      <w:pPr>
        <w:adjustRightInd w:val="0"/>
        <w:snapToGrid w:val="0"/>
        <w:spacing w:line="360" w:lineRule="auto"/>
        <w:jc w:val="center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5187950" cy="2470150"/>
            <wp:effectExtent l="19050" t="19050" r="12700" b="254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7" b="4423"/>
                    <a:stretch>
                      <a:fillRect/>
                    </a:stretch>
                  </pic:blipFill>
                  <pic:spPr>
                    <a:xfrm>
                      <a:off x="0" y="0"/>
                      <a:ext cx="5203044" cy="24773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打印收据</w:t>
      </w:r>
    </w:p>
    <w:p>
      <w:pPr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在待拨付资金列表中找到本次需要打印收据的资金事项，点击“详情”查看。</w:t>
      </w:r>
    </w:p>
    <w:p>
      <w:pPr>
        <w:adjustRightInd w:val="0"/>
        <w:snapToGrid w:val="0"/>
        <w:spacing w:after="156" w:afterLines="50"/>
        <w:ind w:firstLine="480" w:firstLineChars="200"/>
        <w:rPr>
          <w:rFonts w:cs="微软雅黑" w:asciiTheme="majorEastAsia" w:hAnsiTheme="majorEastAsia" w:eastAsiaTheme="majorEastAsia"/>
          <w:sz w:val="24"/>
        </w:rPr>
      </w:pPr>
      <w:r>
        <w:rPr>
          <w:rFonts w:hint="eastAsia" w:ascii="微软雅黑" w:hAnsi="微软雅黑" w:eastAsia="微软雅黑"/>
          <w:sz w:val="24"/>
        </w:rPr>
        <w:t>进入详情页面后，您可以点击“调整银行账户”、“调整联系人”对收据信息进行调整。</w:t>
      </w:r>
    </w:p>
    <w:p>
      <w:pPr>
        <w:adjustRightInd w:val="0"/>
        <w:snapToGrid w:val="0"/>
        <w:spacing w:after="156" w:afterLines="50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5282565" cy="2686050"/>
            <wp:effectExtent l="19050" t="19050" r="1333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158" cy="2699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cs="微软雅黑" w:asciiTheme="majorEastAsia" w:hAnsiTheme="majorEastAsia" w:eastAsiaTheme="majorEastAsia"/>
          <w:sz w:val="24"/>
        </w:rPr>
      </w:pPr>
    </w:p>
    <w:p>
      <w:pPr>
        <w:keepNext/>
        <w:widowControl/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点击“调整银行账号”，进行选择或者维护，如下图所示：</w:t>
      </w:r>
    </w:p>
    <w:p>
      <w:pPr>
        <w:spacing w:before="156" w:beforeLines="50" w:after="156" w:afterLines="50"/>
        <w:rPr>
          <w:rFonts w:cs="微软雅黑" w:asciiTheme="majorEastAsia" w:hAnsiTheme="majorEastAsia" w:eastAsiaTheme="majorEastAsia"/>
          <w:sz w:val="24"/>
        </w:rPr>
      </w:pPr>
      <w:r>
        <w:drawing>
          <wp:inline distT="0" distB="0" distL="0" distR="0">
            <wp:extent cx="5238750" cy="1770380"/>
            <wp:effectExtent l="19050" t="19050" r="1905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004" t="4893" r="2423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5321244" cy="179889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keepNext/>
        <w:widowControl/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点击“调整联系人”，进行选择或者维护，如下图所示：</w:t>
      </w:r>
    </w:p>
    <w:p>
      <w:pPr>
        <w:spacing w:before="156" w:beforeLines="50" w:after="156" w:afterLines="50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5270500" cy="1809750"/>
            <wp:effectExtent l="19050" t="19050" r="2540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9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widowControl/>
        <w:adjustRightInd w:val="0"/>
        <w:snapToGrid w:val="0"/>
        <w:spacing w:after="156" w:afterLines="50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调整完毕后，可</w:t>
      </w:r>
      <w:r>
        <w:rPr>
          <w:rFonts w:ascii="微软雅黑" w:hAnsi="微软雅黑" w:eastAsia="微软雅黑"/>
          <w:sz w:val="24"/>
        </w:rPr>
        <w:t>点击“下载PDF 打印”</w:t>
      </w:r>
      <w:r>
        <w:rPr>
          <w:rFonts w:hint="eastAsia" w:ascii="微软雅黑" w:hAnsi="微软雅黑" w:eastAsia="微软雅黑"/>
          <w:sz w:val="24"/>
        </w:rPr>
        <w:t>，将打印好的收据按虚线剪裁，加盖财务章或者企业公章后递交至企业发展服务中心（苏州工业园区月亮湾路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号慧湖大厦</w:t>
      </w:r>
      <w:r>
        <w:rPr>
          <w:rFonts w:ascii="微软雅黑" w:hAnsi="微软雅黑" w:eastAsia="微软雅黑"/>
          <w:sz w:val="24"/>
        </w:rPr>
        <w:t>A</w:t>
      </w:r>
      <w:r>
        <w:rPr>
          <w:rFonts w:hint="eastAsia" w:ascii="微软雅黑" w:hAnsi="微软雅黑" w:eastAsia="微软雅黑"/>
          <w:sz w:val="24"/>
        </w:rPr>
        <w:t>座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楼）。</w:t>
      </w:r>
    </w:p>
    <w:p>
      <w:pPr>
        <w:spacing w:before="156" w:beforeLines="50" w:after="156" w:afterLines="50"/>
        <w:jc w:val="center"/>
        <w:rPr>
          <w:rFonts w:cs="微软雅黑" w:asciiTheme="majorEastAsia" w:hAnsiTheme="majorEastAsia" w:eastAsiaTheme="majorEastAsia"/>
          <w:sz w:val="24"/>
        </w:rPr>
      </w:pPr>
      <w:r>
        <w:rPr>
          <w:rFonts w:cs="微软雅黑" w:asciiTheme="majorEastAsia" w:hAnsiTheme="majorEastAsia" w:eastAsiaTheme="majorEastAsia"/>
          <w:sz w:val="24"/>
        </w:rPr>
        <w:drawing>
          <wp:inline distT="0" distB="0" distL="0" distR="0">
            <wp:extent cx="4718050" cy="2891790"/>
            <wp:effectExtent l="19050" t="19050" r="2540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712" cy="295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spacing w:before="156" w:beforeLines="50" w:after="156" w:afterLines="50"/>
        <w:ind w:firstLineChars="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系统技术支持</w:t>
      </w:r>
    </w:p>
    <w:p>
      <w:pPr>
        <w:spacing w:before="156" w:beforeLines="50" w:after="156" w:afterLines="50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系统开发单位：苏州德融嘉信信用管理技术股份有限公司</w:t>
      </w:r>
    </w:p>
    <w:p>
      <w:pPr>
        <w:spacing w:before="156" w:beforeLines="50" w:after="156" w:afterLines="50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技术支持电话：400-8696-086</w:t>
      </w:r>
    </w:p>
    <w:p>
      <w:pPr>
        <w:spacing w:before="156" w:beforeLines="50" w:after="156" w:afterLines="50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客服微信号：s18913131676，或者扫描下方二维码</w:t>
      </w:r>
    </w:p>
    <w:p>
      <w:pPr>
        <w:spacing w:before="156" w:beforeLines="50" w:after="156" w:afterLines="50"/>
        <w:jc w:val="center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drawing>
          <wp:inline distT="0" distB="0" distL="0" distR="0">
            <wp:extent cx="1517650" cy="14224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left="420" w:left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客服QQ：2967266691</w:t>
      </w:r>
      <w:r>
        <w:rPr>
          <w:rFonts w:hint="eastAsia" w:ascii="微软雅黑" w:hAnsi="微软雅黑" w:eastAsia="微软雅黑" w:cs="微软雅黑"/>
          <w:sz w:val="24"/>
        </w:rPr>
        <w:br w:type="textWrapping"/>
      </w:r>
      <w:r>
        <w:rPr>
          <w:rFonts w:hint="eastAsia" w:ascii="微软雅黑" w:hAnsi="微软雅黑" w:eastAsia="微软雅黑" w:cs="微软雅黑"/>
          <w:sz w:val="24"/>
        </w:rPr>
        <w:t>邮箱：techsoft@sipac.gov.cn</w:t>
      </w:r>
    </w:p>
    <w:p>
      <w:pPr>
        <w:spacing w:before="156" w:beforeLines="50" w:after="156" w:afterLines="50"/>
        <w:jc w:val="left"/>
        <w:rPr>
          <w:rFonts w:cs="微软雅黑" w:asciiTheme="majorEastAsia" w:hAnsiTheme="majorEastAsia" w:eastAsiaTheme="maj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微软雅黑" w:hAnsi="微软雅黑" w:eastAsia="微软雅黑"/>
        <w:sz w:val="20"/>
        <w:szCs w:val="21"/>
      </w:rPr>
      <w:id w:val="1984583638"/>
      <w:docPartObj>
        <w:docPartGallery w:val="autotext"/>
      </w:docPartObj>
    </w:sdtPr>
    <w:sdtEndPr>
      <w:rPr>
        <w:rFonts w:ascii="微软雅黑" w:hAnsi="微软雅黑" w:eastAsia="微软雅黑"/>
        <w:sz w:val="20"/>
        <w:szCs w:val="21"/>
      </w:rPr>
    </w:sdtEndPr>
    <w:sdtContent>
      <w:sdt>
        <w:sdtPr>
          <w:rPr>
            <w:rFonts w:ascii="微软雅黑" w:hAnsi="微软雅黑" w:eastAsia="微软雅黑"/>
            <w:sz w:val="20"/>
            <w:szCs w:val="21"/>
          </w:rPr>
          <w:id w:val="-1705238520"/>
          <w:docPartObj>
            <w:docPartGallery w:val="autotext"/>
          </w:docPartObj>
        </w:sdtPr>
        <w:sdtEndPr>
          <w:rPr>
            <w:rFonts w:ascii="微软雅黑" w:hAnsi="微软雅黑" w:eastAsia="微软雅黑"/>
            <w:sz w:val="20"/>
            <w:szCs w:val="21"/>
          </w:rPr>
        </w:sdtEndPr>
        <w:sdtContent>
          <w:p>
            <w:pPr>
              <w:pStyle w:val="3"/>
              <w:jc w:val="center"/>
              <w:rPr>
                <w:rFonts w:ascii="微软雅黑" w:hAnsi="微软雅黑" w:eastAsia="微软雅黑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sz w:val="20"/>
                <w:szCs w:val="21"/>
              </w:rPr>
              <w:t>第</w:t>
            </w:r>
            <w:r>
              <w:rPr>
                <w:rFonts w:ascii="微软雅黑" w:hAnsi="微软雅黑" w:eastAsia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begin"/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instrText xml:space="preserve">PAGE</w:instrTex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separate"/>
            </w:r>
            <w:r>
              <w:rPr>
                <w:rFonts w:ascii="微软雅黑" w:hAnsi="微软雅黑" w:eastAsia="微软雅黑"/>
                <w:bCs/>
                <w:sz w:val="20"/>
                <w:szCs w:val="21"/>
                <w:lang w:val="zh-CN"/>
              </w:rPr>
              <w:t>2</w: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end"/>
            </w:r>
            <w:r>
              <w:rPr>
                <w:rFonts w:ascii="微软雅黑" w:hAnsi="微软雅黑" w:eastAsia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1"/>
                <w:lang w:val="zh-CN"/>
              </w:rPr>
              <w:t xml:space="preserve">页 </w:t>
            </w:r>
            <w:r>
              <w:rPr>
                <w:rFonts w:ascii="微软雅黑" w:hAnsi="微软雅黑" w:eastAsia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1"/>
                <w:lang w:val="zh-CN"/>
              </w:rPr>
              <w:t>共</w:t>
            </w:r>
            <w:r>
              <w:rPr>
                <w:rFonts w:ascii="微软雅黑" w:hAnsi="微软雅黑" w:eastAsia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begin"/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instrText xml:space="preserve">NUMPAGES</w:instrTex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separate"/>
            </w:r>
            <w:r>
              <w:rPr>
                <w:rFonts w:ascii="微软雅黑" w:hAnsi="微软雅黑" w:eastAsia="微软雅黑"/>
                <w:bCs/>
                <w:sz w:val="20"/>
                <w:szCs w:val="21"/>
                <w:lang w:val="zh-CN"/>
              </w:rPr>
              <w:t>2</w:t>
            </w:r>
            <w:r>
              <w:rPr>
                <w:rFonts w:ascii="微软雅黑" w:hAnsi="微软雅黑" w:eastAsia="微软雅黑"/>
                <w:bCs/>
                <w:sz w:val="20"/>
                <w:szCs w:val="21"/>
              </w:rPr>
              <w:fldChar w:fldCharType="end"/>
            </w:r>
            <w:r>
              <w:rPr>
                <w:rFonts w:ascii="微软雅黑" w:hAnsi="微软雅黑" w:eastAsia="微软雅黑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20"/>
                <w:szCs w:val="21"/>
              </w:rPr>
              <w:t>页</w:t>
            </w:r>
            <w:r>
              <w:rPr>
                <w:rFonts w:ascii="微软雅黑" w:hAnsi="微软雅黑" w:eastAsia="微软雅黑"/>
                <w:sz w:val="20"/>
                <w:szCs w:val="21"/>
              </w:rPr>
              <w:t xml:space="preserve"> 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D4CA"/>
    <w:multiLevelType w:val="singleLevel"/>
    <w:tmpl w:val="5A52D4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6E0EF8"/>
    <w:multiLevelType w:val="multilevel"/>
    <w:tmpl w:val="686E0E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008AF"/>
    <w:rsid w:val="00064DE6"/>
    <w:rsid w:val="000830A1"/>
    <w:rsid w:val="00091843"/>
    <w:rsid w:val="000A2A24"/>
    <w:rsid w:val="00107537"/>
    <w:rsid w:val="00134951"/>
    <w:rsid w:val="0014542A"/>
    <w:rsid w:val="00152FD7"/>
    <w:rsid w:val="0018635B"/>
    <w:rsid w:val="00195026"/>
    <w:rsid w:val="001B253A"/>
    <w:rsid w:val="001B7536"/>
    <w:rsid w:val="00224699"/>
    <w:rsid w:val="002306E1"/>
    <w:rsid w:val="002349CC"/>
    <w:rsid w:val="00264F4D"/>
    <w:rsid w:val="002817F8"/>
    <w:rsid w:val="00283061"/>
    <w:rsid w:val="002C4B96"/>
    <w:rsid w:val="00303A72"/>
    <w:rsid w:val="00314AA7"/>
    <w:rsid w:val="003A2DA2"/>
    <w:rsid w:val="003D72D1"/>
    <w:rsid w:val="003E7B09"/>
    <w:rsid w:val="0046460D"/>
    <w:rsid w:val="00470AC7"/>
    <w:rsid w:val="004749BC"/>
    <w:rsid w:val="004B5785"/>
    <w:rsid w:val="004C1A32"/>
    <w:rsid w:val="004C6420"/>
    <w:rsid w:val="004E62FE"/>
    <w:rsid w:val="00517DE7"/>
    <w:rsid w:val="005811C5"/>
    <w:rsid w:val="005C397D"/>
    <w:rsid w:val="00641AD1"/>
    <w:rsid w:val="006528E6"/>
    <w:rsid w:val="006855E9"/>
    <w:rsid w:val="006875A3"/>
    <w:rsid w:val="00754742"/>
    <w:rsid w:val="00775A3D"/>
    <w:rsid w:val="00782431"/>
    <w:rsid w:val="007A6DFE"/>
    <w:rsid w:val="007C00D0"/>
    <w:rsid w:val="007D30D0"/>
    <w:rsid w:val="00800AEE"/>
    <w:rsid w:val="00827FD0"/>
    <w:rsid w:val="0085076A"/>
    <w:rsid w:val="00860623"/>
    <w:rsid w:val="00883086"/>
    <w:rsid w:val="008929CC"/>
    <w:rsid w:val="008B4C83"/>
    <w:rsid w:val="00907B14"/>
    <w:rsid w:val="00920A92"/>
    <w:rsid w:val="009511FB"/>
    <w:rsid w:val="0099334D"/>
    <w:rsid w:val="009A46C2"/>
    <w:rsid w:val="009F1CC3"/>
    <w:rsid w:val="00A1316A"/>
    <w:rsid w:val="00A25FDB"/>
    <w:rsid w:val="00A40B58"/>
    <w:rsid w:val="00A42980"/>
    <w:rsid w:val="00A662DE"/>
    <w:rsid w:val="00A66C8D"/>
    <w:rsid w:val="00A74478"/>
    <w:rsid w:val="00AC0B32"/>
    <w:rsid w:val="00B116CA"/>
    <w:rsid w:val="00B31F26"/>
    <w:rsid w:val="00B3405B"/>
    <w:rsid w:val="00B577D8"/>
    <w:rsid w:val="00B7432C"/>
    <w:rsid w:val="00B94E21"/>
    <w:rsid w:val="00BA6D8F"/>
    <w:rsid w:val="00BC505C"/>
    <w:rsid w:val="00BF0DA5"/>
    <w:rsid w:val="00C0480B"/>
    <w:rsid w:val="00C178EF"/>
    <w:rsid w:val="00C2565D"/>
    <w:rsid w:val="00C3389B"/>
    <w:rsid w:val="00C358D5"/>
    <w:rsid w:val="00C53563"/>
    <w:rsid w:val="00C76A46"/>
    <w:rsid w:val="00CB7F30"/>
    <w:rsid w:val="00CD63D1"/>
    <w:rsid w:val="00D06F49"/>
    <w:rsid w:val="00D12782"/>
    <w:rsid w:val="00D32E67"/>
    <w:rsid w:val="00D65FF9"/>
    <w:rsid w:val="00D87848"/>
    <w:rsid w:val="00DC1E2E"/>
    <w:rsid w:val="00DE4839"/>
    <w:rsid w:val="00DF404B"/>
    <w:rsid w:val="00DF4FDE"/>
    <w:rsid w:val="00DF73D2"/>
    <w:rsid w:val="00E232F7"/>
    <w:rsid w:val="00E24854"/>
    <w:rsid w:val="00E31C5F"/>
    <w:rsid w:val="00E85E5C"/>
    <w:rsid w:val="00E8699F"/>
    <w:rsid w:val="00ED4DB5"/>
    <w:rsid w:val="00EE5AC7"/>
    <w:rsid w:val="00EF7B93"/>
    <w:rsid w:val="00F01E62"/>
    <w:rsid w:val="00F02AF5"/>
    <w:rsid w:val="00F05C79"/>
    <w:rsid w:val="00F239D2"/>
    <w:rsid w:val="00F46A08"/>
    <w:rsid w:val="00F83B53"/>
    <w:rsid w:val="0DB13BB4"/>
    <w:rsid w:val="5AA11A40"/>
    <w:rsid w:val="78D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1"/>
        <w:numId w:val="1"/>
      </w:numPr>
      <w:tabs>
        <w:tab w:val="left" w:pos="425"/>
      </w:tabs>
      <w:spacing w:before="340" w:after="330" w:line="576" w:lineRule="auto"/>
      <w:outlineLvl w:val="0"/>
    </w:pPr>
    <w:rPr>
      <w:rFonts w:ascii="Times New Roman" w:hAnsi="Times New Roman" w:eastAsia="楷体_GB2312" w:cs="Times New Roman"/>
      <w:b/>
      <w:kern w:val="44"/>
      <w:sz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标题 1 字符"/>
    <w:basedOn w:val="5"/>
    <w:link w:val="2"/>
    <w:uiPriority w:val="0"/>
    <w:rPr>
      <w:rFonts w:ascii="Times New Roman" w:hAnsi="Times New Roman" w:eastAsia="楷体_GB2312" w:cs="Times New Roman"/>
      <w:b/>
      <w:kern w:val="44"/>
      <w:sz w:val="30"/>
      <w:szCs w:val="24"/>
    </w:r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36E5E-6B78-4F3F-9F55-2749BC3E4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</Words>
  <Characters>516</Characters>
  <Lines>4</Lines>
  <Paragraphs>1</Paragraphs>
  <TotalTime>274</TotalTime>
  <ScaleCrop>false</ScaleCrop>
  <LinksUpToDate>false</LinksUpToDate>
  <CharactersWithSpaces>605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2018-11-05T07:07:00Z</dcterms:created>
  <dc:creator>dejax</dc:creator>
  <cp:lastModifiedBy>运营中心邢璐</cp:lastModifiedBy>
  <dcterms:modified xsi:type="dcterms:W3CDTF">2018-11-15T06:18:27Z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