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FD" w:rsidRPr="00736DCD" w:rsidRDefault="004645FD" w:rsidP="004645FD">
      <w:pPr>
        <w:wordWrap w:val="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736DCD">
        <w:rPr>
          <w:rFonts w:ascii="方正黑体_GBK" w:eastAsia="方正黑体_GBK" w:cs="方正黑体_GBK" w:hint="eastAsia"/>
          <w:sz w:val="32"/>
          <w:szCs w:val="32"/>
        </w:rPr>
        <w:t>附件</w:t>
      </w:r>
      <w:r w:rsidRPr="00736DCD">
        <w:rPr>
          <w:rFonts w:ascii="Times New Roman" w:eastAsia="方正黑体_GBK" w:hAnsi="Times New Roman" w:cs="Times New Roman"/>
          <w:sz w:val="32"/>
          <w:szCs w:val="32"/>
        </w:rPr>
        <w:t>1</w:t>
      </w:r>
      <w:r w:rsidRPr="00736DCD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4645FD" w:rsidRDefault="004645FD" w:rsidP="004645FD">
      <w:pPr>
        <w:wordWrap w:val="0"/>
        <w:spacing w:line="360" w:lineRule="auto"/>
        <w:jc w:val="center"/>
        <w:rPr>
          <w:rFonts w:ascii="方正小标宋_GBK" w:eastAsia="方正小标宋_GBK" w:cs="Times New Roman"/>
          <w:sz w:val="32"/>
          <w:szCs w:val="32"/>
        </w:rPr>
      </w:pPr>
      <w:r w:rsidRPr="00736DCD">
        <w:rPr>
          <w:rFonts w:ascii="Times New Roman" w:eastAsia="方正小标宋_GBK" w:hAnsi="Times New Roman" w:cs="Times New Roman"/>
          <w:sz w:val="32"/>
          <w:szCs w:val="32"/>
        </w:rPr>
        <w:t>2022</w:t>
      </w:r>
      <w:r>
        <w:rPr>
          <w:rFonts w:ascii="方正小标宋_GBK" w:eastAsia="方正小标宋_GBK" w:cs="方正小标宋_GBK" w:hint="eastAsia"/>
          <w:sz w:val="32"/>
          <w:szCs w:val="32"/>
        </w:rPr>
        <w:t>年工业领域数据安全防护方案供应商申报信息表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280"/>
        <w:gridCol w:w="932"/>
        <w:gridCol w:w="368"/>
        <w:gridCol w:w="1844"/>
        <w:gridCol w:w="2689"/>
      </w:tblGrid>
      <w:tr w:rsidR="004645FD" w:rsidTr="009376ED">
        <w:trPr>
          <w:trHeight w:val="507"/>
          <w:jc w:val="center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企业基本信息</w:t>
            </w: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具体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从业人员总数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/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人员总数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有效专利总数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/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软件著作权数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财务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状况</w:t>
            </w: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snapToGrid w:val="0"/>
              <w:ind w:firstLine="42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营业收入（万元）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研发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投入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数据安全防护方案领域（可多选）</w:t>
            </w:r>
          </w:p>
        </w:tc>
      </w:tr>
      <w:tr w:rsidR="004645FD" w:rsidTr="009376ED">
        <w:trPr>
          <w:trHeight w:val="929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原材料工业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装备工业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消费品工业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4645FD" w:rsidRDefault="004645FD" w:rsidP="009376ED">
            <w:pPr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电子信息制造业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软件和信息技术服务业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szCs w:val="21"/>
              </w:rPr>
              <w:t>______</w:t>
            </w:r>
          </w:p>
        </w:tc>
      </w:tr>
      <w:tr w:rsidR="004645FD" w:rsidTr="009376ED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企业简介</w:t>
            </w:r>
          </w:p>
        </w:tc>
      </w:tr>
      <w:tr w:rsidR="004645FD" w:rsidTr="009376ED">
        <w:trPr>
          <w:trHeight w:val="97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企业</w:t>
            </w:r>
            <w:r>
              <w:rPr>
                <w:rFonts w:ascii="仿宋_GB2312" w:eastAsia="仿宋_GB2312" w:cs="仿宋_GB2312" w:hint="eastAsia"/>
                <w:szCs w:val="21"/>
              </w:rPr>
              <w:t>简介，</w:t>
            </w:r>
            <w:r>
              <w:rPr>
                <w:rFonts w:ascii="Times New Roman" w:eastAsia="仿宋_GB2312" w:hAnsi="Times New Roman" w:cs="Times New Roman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szCs w:val="21"/>
              </w:rPr>
              <w:t>字以内）</w:t>
            </w:r>
          </w:p>
          <w:p w:rsidR="004645FD" w:rsidRDefault="004645FD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439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数据安全防护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团队</w:t>
            </w:r>
          </w:p>
        </w:tc>
      </w:tr>
      <w:tr w:rsidR="004645FD" w:rsidTr="009376ED">
        <w:trPr>
          <w:trHeight w:val="913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（简要介绍</w:t>
            </w:r>
            <w:r>
              <w:rPr>
                <w:rFonts w:ascii="Times New Roman" w:eastAsia="仿宋_GB2312" w:hAnsi="Times New Roman" w:cs="Times New Roman"/>
                <w:szCs w:val="21"/>
              </w:rPr>
              <w:t>数据安全防护</w:t>
            </w:r>
            <w:r>
              <w:rPr>
                <w:rFonts w:ascii="仿宋_GB2312" w:eastAsia="仿宋_GB2312" w:cs="仿宋_GB2312" w:hint="eastAsia"/>
                <w:szCs w:val="21"/>
              </w:rPr>
              <w:t>团队负责人和主要队伍情况）</w:t>
            </w: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数据安全防护核心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技术及水平</w:t>
            </w:r>
          </w:p>
        </w:tc>
      </w:tr>
      <w:tr w:rsidR="004645FD" w:rsidTr="009376ED">
        <w:trPr>
          <w:trHeight w:val="68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lastRenderedPageBreak/>
              <w:t>（目前已掌握</w:t>
            </w:r>
            <w:r>
              <w:rPr>
                <w:rFonts w:ascii="Times New Roman" w:eastAsia="仿宋_GB2312" w:hAnsi="Times New Roman" w:cs="Times New Roman"/>
                <w:szCs w:val="21"/>
              </w:rPr>
              <w:t>的</w:t>
            </w:r>
            <w:r>
              <w:rPr>
                <w:rFonts w:ascii="仿宋_GB2312" w:eastAsia="仿宋_GB2312" w:cs="仿宋_GB2312" w:hint="eastAsia"/>
                <w:szCs w:val="21"/>
              </w:rPr>
              <w:t>核心技术内容、能力与水平情况</w:t>
            </w:r>
            <w:r>
              <w:rPr>
                <w:rFonts w:ascii="Times New Roman" w:eastAsia="仿宋_GB2312" w:hAnsi="Times New Roman" w:cs="Times New Roman"/>
                <w:szCs w:val="21"/>
              </w:rPr>
              <w:t>（可按工业行业领域分类描述）</w:t>
            </w:r>
            <w:r>
              <w:rPr>
                <w:rFonts w:ascii="仿宋_GB2312" w:eastAsia="仿宋_GB2312" w:cs="仿宋_GB2312" w:hint="eastAsia"/>
                <w:szCs w:val="21"/>
              </w:rPr>
              <w:t>）</w:t>
            </w: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38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数据安全防护方案介绍</w:t>
            </w:r>
          </w:p>
        </w:tc>
      </w:tr>
      <w:tr w:rsidR="004645FD" w:rsidTr="009376ED">
        <w:trPr>
          <w:trHeight w:val="579"/>
          <w:jc w:val="center"/>
        </w:trPr>
        <w:tc>
          <w:tcPr>
            <w:tcW w:w="935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与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所勾选的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数据安全防护方案领域及提供的数据安全防护方案相对应</w:t>
            </w:r>
            <w:r>
              <w:rPr>
                <w:rFonts w:ascii="仿宋_GB2312" w:eastAsia="仿宋_GB2312" w:cs="仿宋_GB2312" w:hint="eastAsia"/>
                <w:szCs w:val="21"/>
              </w:rPr>
              <w:t>）</w:t>
            </w:r>
          </w:p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如：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、原材料工业领域—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</w:t>
            </w:r>
          </w:p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2</w:t>
            </w:r>
            <w:r>
              <w:rPr>
                <w:rFonts w:ascii="仿宋_GB2312" w:eastAsia="仿宋_GB2312" w:cs="仿宋_GB2312" w:hint="eastAsia"/>
                <w:szCs w:val="21"/>
              </w:rPr>
              <w:t>、软件和信息技术服务业领域—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</w:t>
            </w: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/>
        </w:tc>
      </w:tr>
      <w:tr w:rsidR="004645FD" w:rsidTr="009376ED">
        <w:trPr>
          <w:trHeight w:val="416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数据安全防护方案应用示范效果说明</w:t>
            </w:r>
          </w:p>
        </w:tc>
      </w:tr>
      <w:tr w:rsidR="004645FD" w:rsidTr="009376ED">
        <w:trPr>
          <w:trHeight w:val="579"/>
          <w:jc w:val="center"/>
        </w:trPr>
        <w:tc>
          <w:tcPr>
            <w:tcW w:w="935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与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所勾选的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数据安全防护方案领域及提供的数据安全防护方案相对应</w:t>
            </w:r>
            <w:r>
              <w:rPr>
                <w:rFonts w:ascii="仿宋_GB2312" w:eastAsia="仿宋_GB2312" w:cs="仿宋_GB2312" w:hint="eastAsia"/>
                <w:szCs w:val="21"/>
              </w:rPr>
              <w:t>）</w:t>
            </w:r>
          </w:p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如：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、原材料工业领域—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数据安全防护方案应用示范效果说明</w:t>
            </w:r>
          </w:p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2</w:t>
            </w:r>
            <w:r>
              <w:rPr>
                <w:rFonts w:ascii="仿宋_GB2312" w:eastAsia="仿宋_GB2312" w:cs="仿宋_GB2312" w:hint="eastAsia"/>
                <w:szCs w:val="21"/>
              </w:rPr>
              <w:t>、软件和信息技术服务业领域—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数据安全防护方案应用示范效果说明</w:t>
            </w: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/>
        </w:tc>
      </w:tr>
      <w:tr w:rsidR="004645FD" w:rsidTr="009376ED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下一步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计划</w:t>
            </w:r>
          </w:p>
        </w:tc>
      </w:tr>
      <w:tr w:rsidR="004645FD" w:rsidTr="009376ED">
        <w:trPr>
          <w:trHeight w:val="579"/>
          <w:jc w:val="center"/>
        </w:trPr>
        <w:tc>
          <w:tcPr>
            <w:tcW w:w="935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（下一步计划开展的关键核心技术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产品研发情况，包括技术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产品名称、对标国内外企业及产品、预期可达到的关键性能指标等）</w:t>
            </w: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45FD" w:rsidTr="009376ED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/>
        </w:tc>
      </w:tr>
      <w:tr w:rsidR="004645FD" w:rsidTr="009376ED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645FD" w:rsidRDefault="004645FD" w:rsidP="009376ED"/>
        </w:tc>
      </w:tr>
      <w:tr w:rsidR="004645FD" w:rsidTr="009376ED">
        <w:trPr>
          <w:trHeight w:val="567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FD" w:rsidRDefault="004645FD" w:rsidP="009376ED">
            <w:pPr>
              <w:wordWrap w:val="0"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自愿申请参加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“2022</w:t>
            </w:r>
            <w:r>
              <w:rPr>
                <w:rFonts w:ascii="仿宋" w:eastAsia="仿宋" w:cs="仿宋" w:hint="eastAsia"/>
                <w:sz w:val="24"/>
                <w:szCs w:val="24"/>
              </w:rPr>
              <w:t>年工业领域数据安全防护方案供应商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仿宋" w:eastAsia="仿宋" w:cs="仿宋" w:hint="eastAsia"/>
                <w:sz w:val="24"/>
                <w:szCs w:val="24"/>
              </w:rPr>
              <w:t>征集活动，承诺提交的申报材料属实，并对其真实性负责。</w:t>
            </w: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仿宋" w:eastAsia="仿宋" w:cs="Times New Roman"/>
                <w:kern w:val="0"/>
                <w:szCs w:val="21"/>
              </w:rPr>
            </w:pP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rPr>
                <w:rFonts w:ascii="仿宋" w:eastAsia="仿宋" w:cs="Times New Roman"/>
                <w:kern w:val="0"/>
                <w:szCs w:val="21"/>
              </w:rPr>
            </w:pPr>
          </w:p>
          <w:p w:rsidR="004645FD" w:rsidRDefault="004645FD" w:rsidP="009376ED">
            <w:pPr>
              <w:wordWrap w:val="0"/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（盖章）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:rsidR="004645FD" w:rsidRDefault="004645FD" w:rsidP="009376ED">
            <w:pPr>
              <w:widowControl/>
              <w:wordWrap w:val="0"/>
              <w:snapToGrid w:val="0"/>
              <w:spacing w:line="360" w:lineRule="exact"/>
              <w:jc w:val="right"/>
              <w:rPr>
                <w:rFonts w:ascii="仿宋" w:eastAsia="仿宋" w:cs="Times New Roman"/>
                <w:kern w:val="0"/>
                <w:szCs w:val="21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日</w:t>
            </w:r>
          </w:p>
        </w:tc>
      </w:tr>
    </w:tbl>
    <w:p w:rsidR="004645FD" w:rsidRDefault="004645FD" w:rsidP="004645FD">
      <w:pPr>
        <w:wordWrap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</w:p>
    <w:p w:rsidR="004645FD" w:rsidRPr="004645FD" w:rsidRDefault="004645FD">
      <w:bookmarkStart w:id="0" w:name="_GoBack"/>
      <w:bookmarkEnd w:id="0"/>
    </w:p>
    <w:sectPr w:rsidR="004645FD" w:rsidRPr="0046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variable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FD"/>
    <w:rsid w:val="004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DB6A-82AB-4D8A-A7F2-227B99B3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2022-06-06T01:46:00Z</dcterms:created>
  <dcterms:modified xsi:type="dcterms:W3CDTF">2022-06-06T01:48:00Z</dcterms:modified>
</cp:coreProperties>
</file>