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80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 xml:space="preserve">附件1 </w:t>
      </w:r>
    </w:p>
    <w:p>
      <w:pPr>
        <w:overflowPunct w:val="0"/>
        <w:adjustRightInd w:val="0"/>
        <w:snapToGrid w:val="0"/>
        <w:spacing w:line="580" w:lineRule="exact"/>
        <w:rPr>
          <w:rFonts w:ascii="黑体" w:hAnsi="黑体" w:eastAsia="黑体" w:cs="Times New Roman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80" w:lineRule="exact"/>
        <w:ind w:firstLine="1320" w:firstLineChars="300"/>
        <w:jc w:val="left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在单位领取工薪类型的补贴</w: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标准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1320" w:firstLineChars="300"/>
        <w:jc w:val="left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tbl>
      <w:tblPr>
        <w:tblStyle w:val="5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361"/>
        <w:gridCol w:w="1768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5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类型</w:t>
            </w:r>
          </w:p>
        </w:tc>
        <w:tc>
          <w:tcPr>
            <w:tcW w:w="336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实际支付的计缴所得税的工薪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272" w:firstLineChars="100"/>
              <w:rPr>
                <w:rFonts w:ascii="黑体" w:hAnsi="黑体" w:eastAsia="黑体" w:cs="Times New Roman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补贴比例</w:t>
            </w:r>
          </w:p>
        </w:tc>
        <w:tc>
          <w:tcPr>
            <w:tcW w:w="2309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黑体" w:hAnsi="黑体" w:eastAsia="黑体" w:cs="Times New Roman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单个项目(人才)最高补贴额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5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高端外国专家</w:t>
            </w:r>
          </w:p>
        </w:tc>
        <w:tc>
          <w:tcPr>
            <w:tcW w:w="336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5万元（含）以上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0%</w:t>
            </w:r>
          </w:p>
        </w:tc>
        <w:tc>
          <w:tcPr>
            <w:tcW w:w="23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509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其他</w:t>
            </w:r>
          </w:p>
        </w:tc>
        <w:tc>
          <w:tcPr>
            <w:tcW w:w="3361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5万元（含）以上、10万元以下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25%</w:t>
            </w:r>
          </w:p>
        </w:tc>
        <w:tc>
          <w:tcPr>
            <w:tcW w:w="2309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10万元（含）以上、20万元以下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30%</w:t>
            </w:r>
          </w:p>
        </w:tc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20万元（含）以上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35%</w:t>
            </w:r>
          </w:p>
        </w:tc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楷体_GB2312" w:hAnsi="Times New Roman" w:eastAsia="楷体_GB2312" w:cs="Times New Roman"/>
          <w:sz w:val="24"/>
          <w:szCs w:val="24"/>
        </w:rPr>
      </w:pPr>
      <w:r>
        <w:rPr>
          <w:rFonts w:hint="eastAsia" w:ascii="楷体_GB2312" w:hAnsi="Times New Roman" w:eastAsia="楷体_GB2312" w:cs="Times New Roman"/>
          <w:sz w:val="24"/>
          <w:szCs w:val="24"/>
        </w:rPr>
        <w:t>注：“高端外国专家”是指《外国人来华工作分类标准（试行）》外国高端人才（A类）第二条规定的“符合国际公认的专业成就认定标准的”外国专家，具体包括诺贝尔奖获得者，发达国家科学院院士、工程院院士，各国科技计划项目成果负责人、首席科学家或主要成员，各国国立研究所或国家实验室主任负责人、高级研究员等外国专家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1YmM3MGNlMWYzOTA3YmRjMDcxNDQ5MDVhNzcxNDUifQ=="/>
  </w:docVars>
  <w:rsids>
    <w:rsidRoot w:val="42100212"/>
    <w:rsid w:val="00133BF3"/>
    <w:rsid w:val="00AF35ED"/>
    <w:rsid w:val="00DB6D9C"/>
    <w:rsid w:val="12B70418"/>
    <w:rsid w:val="421002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262</Words>
  <Characters>277</Characters>
  <Lines>2</Lines>
  <Paragraphs>1</Paragraphs>
  <TotalTime>0</TotalTime>
  <ScaleCrop>false</ScaleCrop>
  <LinksUpToDate>false</LinksUpToDate>
  <CharactersWithSpaces>278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2020-08-03T08:09:00Z</dcterms:created>
  <dc:creator>Lee</dc:creator>
  <cp:lastModifiedBy>歆尧控</cp:lastModifiedBy>
  <dcterms:modified xsi:type="dcterms:W3CDTF">2022-06-23T09:14:13Z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54C79C2C134C4C069D3DC0692EC68BF9</vt:lpwstr>
  </property>
</Properties>
</file>